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ДОКУМЕНТОВ ДЛЯ ПОЛУЧЕНИЯ СУБСИДИИ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составе заявки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участником отбора предоставляются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следующие 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подтверждающие фактические затраты, произведенные по направлениям, указанным в пункте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3.1, 3.2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Порядка предоставления субсидий, утвержденного постановлением администрации города  от 12.05.2023 №820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«Об утверждении Порядка предоставления субсидий субъектам малого и среднего предпринимательства»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оригиналы или копии, заверенные подписью руководителя и печатью (при ее наличии) учредительных документов (при наличии);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документы, подтверждающие произведенные расходы (оригиналы или копии, заверенные подписью руководителя и печатью (при ее наличии): договор аренды/субаренды, договор купли-продажи или поставки, (в том числе приложениями к договору, упоминаемыми по тексту 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оговора, включая приложения, устанавливающие форму документа, а также документами, указанными в договоре как неотъемлемая часть договора – при наличии) и дополнительными соглашениями (при приобретении товаров договор представляется в случае его заключения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наличии), счет (при наличии), акт выполненных работ (оказания услу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 (при наличии), товарная накладная (при наличии), для приемки всех выполненных строительно-монтажных работ различного назначения акт о приемке выполненных работ (форма № КС-2) и справка о стоимости выполненных работ и затрат (форма № КС-3) (при наличии);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подтверждающие произведенные затраты (чеки или бланки строгой отчетности, оформленные в соответствии с </w:t>
      </w:r>
      <w:hyperlink r:id="rId8" w:tooltip="https://mobileonline.garant.ru/#/document/12130951/entry/0" w:anchor="/document/12130951/entry/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от 22.05.2003 №54-ФЗ «О применении контрольно-кассовой техники при осуществлении расчетов в Российской Федерации»,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выписки (справки) по счету (банковской карте),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чеки электронных терминалов при проведении операций с использованием банковской карты,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платежные поручения с отметкой банка об исполнении).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безналичных расчетов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банковский документ/копию банковского документа, отражающий движение денежных средств на расч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тном сч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 участника отбора (выписка, подтверждение платежа).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Копия акта сверки (в случае необходимости)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Допускается предоставление документа с наименованием, отличным от наименования документа, указанного в платежных документах, товарной накладной, универсальном передаточном документе либо в договоре, в случае, если реквизиты (либо номер докум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ента, при указании только номера) представленного документа совпадают с реквизитами (либо номером документа, при указании только номера) документа, указанного в платежных документах, товарной накладной, универсальном передаточном документе либо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Документы, подтверждающие фактические затраты, должны соответствовать требованиям Федерального закона от 06.12.2011 №402-ФЗ «О бухгалтерском учете».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аренду (субаренду) нежилых помещений, оплату коммунальных услуг нежилых помещений на основании договора аренды (субаренды)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 аренды (субаренды) нежилых помещений, используемых в целях реализации социально значимого (приоритетного) вида деятельности, со всеми приложениями (в том числе приложениями, упоминаемыми по тексту договора, вкл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ючая приложения, устанавливающие форму документа, документами, указанными в договоре как неотъемлемая часть договора, а также актом приема-передачи помещения (передаточным актом), если его составление предусмотрено договором и дополнительными соглашениями.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договор аренды (субаренды) заключен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не менее одного года, такой договор и дополнительные соглашения к нему предоставляются со специальной регистрационной надписью, удостоверяющей проведенную государственную регистрацию, либо с иным документом, удостоверяющим государственную регистрацию.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приобретение оборудования (основных средств)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документы, позволяющие идентифицировать оборудование: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техническая документация (паспорт, гарантийный талон, руководство пользователя или иной документ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на оборудование, или фотография заводской наклейки на оборудовании, или фотография части оборудования, или копия этикетки производителя оборудования, которые содержат серийный (заводской) номер оборудования, а если серийный (заводской) номер отсутствует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иную информацию (марка и модель; фирма-изготовитель; заводская маркировка, дата производства (изготовления), позволяющую идентифицировать оборудование;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фотографии оборудования, на которых изображен его общий вид (в том числе из сети «Интернет», если изображение на такой фотографии полностью соответствует (модель, цвет, комплектация) приобретенному оборудованию.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оплату коммунальных услуг нежилых помещений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  <w:t xml:space="preserve">акт сверки, если ежемесячная плата за коммунальные услуги не является фиксированной.</w:t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72f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приобретение лицензионных программных продуктов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документ, подтверждающий, что приобретенный продукт является лицензионным.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возмещении части затрат на обязательную сертификацию произведенной продукции и (или) декл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арирование ее соответствия - документ, удостоверяющий соответствие продукции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ребованиям технических регламентов: сертификат соответствия, выдаваемый органом по сертификации, или декларация о соответствии продукции, зарегистрированные в реестре сертификатов соответствия и деклараций о соответствии Федеральной службы по аккредитации.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участников отбора юридических лиц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копии документов в зависимости от режима налогообложения: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общую систему налогообложения: копию бухгалтерского баланса и отчета о финансовых результатах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упрощенную систему налогообложения: копию налоговой декларации в связи с применением упрощенной системы налогообложения по налогу за пре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дшествующий календарный год. Указанные субъекты имеют право представить копию бухгалтерского баланса и отчета о финансовых результатах, в этом случае налоговая декларация по налогу в связи с применением упрощенной системы налогообложения не представляется;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зарегистрированным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действующим менее 1 года, для отнесения к субъектам малого и среднего предпринимательства: справку о выручке от реализации товаров (работ, услуг) и балансовой стоимости активов (остаточной стоимости основных средств и нематериальных активов) и сведения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фактической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численности работников за период, прошедший со дня их государственной регистрации до даты (на дату) подачи документов на субсидию.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участников отбора индивидуальных предпринимателей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копии документов в зависимости от режима налогообложения: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общую систему налогообложения: копию налоговой декларации по налогу на доходы физических лиц (форма 3-НДФЛ)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систему налогообложения по налогу на профессиональный доход: справку о состоянии расчетов (доходов) по налогу на профессиональный доход за предшествующий календарный год;</w:t>
      </w:r>
      <w:r>
        <w:rPr>
          <w:rFonts w:ascii="Segoe UI" w:hAnsi="Segoe UI" w:eastAsia="Times New Roman" w:cs="Segoe U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упрощенную систему налогообложения: копию налоговой декларации по налогу в связи с применением упрощенной системы налогообложения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патентную систему налогообложения: выписку из книги доходов индивидуальных предпринимателей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применяющих систему налогообложения для сельскохозяйственных товаропроизводителей (единый сельскохозяйственный налог): выписку из книги учета доходов и расходов индивидуальных предпринимателей за предшествующий календарный год;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зарегистрированным и действующим менее 1 года, для отнесения к субъектам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малого и среднего предпринимательства: справку о выручке от реализации товаров (работ, услуг)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 отбора вправе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 собственной инициат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иве, приложить копии 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копию свидетельства о государственной регистрации (для юридических лиц);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выписку из единого государственного реестра юридических лиц (для юридического лица);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копию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выписку из единого государственного реестра физического лица в качестве индивидуального предпринимателя (для индивидуального предпринимателя);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справку из налогового органа об исполнении налогоплательщиком обязанности по уплате налогов, сборов, страховых взносов, пеней и налоговых санкций;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копии лицензий, сертификатов, патентов, свидетельств, разрешений на осуществление предпринимательской деятельности (при наличии).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spacing w:before="40" w:after="40"/>
      </w:pP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firstLine="567"/>
      <w:jc w:val="both"/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Ольга Анатольевна</dc:creator>
  <cp:keywords/>
  <dc:description/>
  <cp:revision>7</cp:revision>
  <dcterms:created xsi:type="dcterms:W3CDTF">2023-05-12T12:16:00Z</dcterms:created>
  <dcterms:modified xsi:type="dcterms:W3CDTF">2025-09-09T11:54:56Z</dcterms:modified>
</cp:coreProperties>
</file>