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  <w:t xml:space="preserve">ПОРЯДОК</w:t>
      </w:r>
      <w:r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  <w:t xml:space="preserve">предоставления субсидий субъектам </w:t>
      </w:r>
      <w:r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  <w:t xml:space="preserve">малого и среднего предпринимательства</w:t>
      </w:r>
      <w:r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(далее – Порядок)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  <w:t xml:space="preserve">Раздел 1. Общие положения</w:t>
      </w:r>
      <w:r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4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rPr>
          <w:rFonts w:ascii="Arial" w:hAnsi="Arial" w:eastAsia="Times New Roman" w:cs="Arial"/>
          <w:b/>
          <w:bCs/>
          <w:iCs/>
          <w:sz w:val="24"/>
          <w:szCs w:val="28"/>
          <w:lang w:eastAsia="ru-RU"/>
        </w:rPr>
        <w:outlineLvl w:val="1"/>
      </w:pPr>
      <w:r>
        <w:rPr>
          <w:rFonts w:ascii="Arial" w:hAnsi="Arial" w:eastAsia="Times New Roman" w:cs="Arial"/>
          <w:b/>
          <w:bCs/>
          <w:iCs/>
          <w:sz w:val="24"/>
          <w:szCs w:val="28"/>
          <w:lang w:eastAsia="ru-RU"/>
        </w:rPr>
      </w:r>
      <w:r>
        <w:rPr>
          <w:rFonts w:ascii="Arial" w:hAnsi="Arial" w:eastAsia="Times New Roman" w:cs="Arial"/>
          <w:b/>
          <w:bCs/>
          <w:iCs/>
          <w:sz w:val="24"/>
          <w:szCs w:val="28"/>
          <w:lang w:eastAsia="ru-RU"/>
        </w:rPr>
      </w:r>
      <w:r>
        <w:rPr>
          <w:rFonts w:ascii="Arial" w:hAnsi="Arial" w:eastAsia="Times New Roman" w:cs="Arial"/>
          <w:b/>
          <w:bCs/>
          <w:iCs/>
          <w:sz w:val="24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1.1.Настоящий порядок разработан в соответствии с Бюджетным кодексом Российской Федерации, Федеральным законом от 24.07.2007 №209-ФЗ «О развитии малого и среднего предпринимательства в Российской Федерации» (далее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Федеральный закон),  постановлением Правительства Российской Федерации от 25.10.2023 №1782 «Об утверждении общих требований к нормативным прав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 Законом Ханты-Мансийского автономного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округа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Югры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29.12.2007 №213-оз «О развитии малого и среднего предпринимательства в Ханты-Мансийском автономном округе-Югре», постановлением Правительства Ханты-Мансийского автономного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Югры от 10.11.2023 №557-п «О государственной программе Ханты-Мансийского автономного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Югры «Развитие экономического потенциала» (далее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государственная программа),  постановлением  Правительства Ханты-Мансийского автономного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округа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Югры от 30.12.2021  №633-п  «О мерах по реализации государственной программы Ханты-Мансийского автономного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Югры «Развитие экономического потенциала»,  определяет порядок предоставления субсидий субъектам малого и среднего предпринимательства.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2.Основные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понятия и термины, используемые в настоящем порядке: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Субъект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субъекты малого и среднего предпринимательства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хозяйствующие субъекты (юридические лица и индивидуальные предприниматели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субъект малого и среднего предпринимательства, осуществляющий деятельность в сфере социального предпринимательства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), отнесенные в соответствии с условиями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установленными Федеральным законом от 24.07.2007 №209-ФЗ «О развитии малого и среднего предпринимательств в Российской Федерации», к малым предприятиям, в 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ом числе к микропредприятиям, и средним предприятиям, сведения о которых внесены в единый реестр субъектов малого и среднего предпринимательства и осуществляющие свою деятельность на территории городского округа Мегион Ханты-Мансийского автономного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Югры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2.Заявитель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(Участник отбора)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субъект, подавший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предоставление субсидии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соответствии с  настоящим  Порядком.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3.Получатель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субсидии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субъект, в отношении которого принято решение о предоставлении субсидии.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4.Социально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значимые виды деятельности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социально значимые виды деятельности, определенные муниципальным образованием и отражены в Приложении 1 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настоящему Порядку.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сте настоящего Порядка понятия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«Субсидия» и «Финансовая поддержка» равнозначны.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Остальные понятия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термины, применяемые в настоящем порядке, используются в значениях, определенных Бюджетным кодексом Российской Федерации, Федеральным законом и государственной программой, приказами Департамента экономического развития Ханты-Мансийского автономного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Югры.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trike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3.Целью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предоставления субсидий является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возмещение затрат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субъект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малого и среднего предпринимательства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рамках реализации постановления администрации города Мегиона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03.11.2023 №1801 «Об утверждении муниципальной программы «Поддержка   и развитие малого и среднего предпринимательства  на территории города Мегиона»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trike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trike/>
          <w:color w:val="ff0000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3" w:name="sub_21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Информационная и консультационная поддержка Субъектов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осуществляется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самозанятыми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гражданами (https://мсп.рф/) и государственной информационной системы автономного округа по обеспечению доступности мер поддержки субъектов предпринимательской деятельности автономного округа «Югра Открытая» (https://lk.ugraopen.admhmao.ru/).</w:t>
      </w:r>
      <w:bookmarkEnd w:id="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4.Главным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распорядителем средств бюджета в пределах бюджетных ассигнован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ий, предусмотренных в бюджете города на текущий финансовый год и плановый период, и лимитов бюджетных обязательств, утвержденных в установленном порядке на предоставление субсидий для реализации мероприятий Программы, является администрация города Мегиона.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Ответственным исполнителем за реализацию настоящего Порядка определено управление экономической политики администрации города Мегиона (далее – Уполномоченный орган).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before="10" w:after="0" w:line="266" w:lineRule="exac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Уполномоченный орган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осуществляет  от  лица  главного  распорядителя бюджетных средств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проведение  отбора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получателей  субсидии,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организационное, информационное, аналитическое сопровождение мероприятий по предоставлению субсидии, в том ч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исле проверку документов, предоставленных в целях получения субсидии, и содержащихся в них сведений, внесение проектов правовых актов главного распорядителя как получателя бюджетных средств о предоставлении (перечислении) субсидии или отказе в ее предостав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лении (перечислении), об отмене решения о предоставлении субсидии, подготовку проектов соглашений о предоставлении субсидии (дополнительных соглашений, в том числе дополнительных соглашений о расторжении соглашений), уведомлений об отказе в предоставлении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(перечислении) субсидии, мониторинг исполнения получателями субсидии условий ее предоставления, проверку отчетности, предоставленной получателями субсидии, и достижение значений показателей результата, контроль за соблюдением в соответствии с пунктом 5.2.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настоящего Порядка.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Отбор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получателей субсидии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осуществляется Уполномоченным органом посредством запроса предложений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5.Категории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участников отбора, имеющих право на получение субсидии:</w:t>
      </w:r>
      <w:r>
        <w:rPr>
          <w:rFonts w:ascii="Arial" w:hAnsi="Arial" w:eastAsia="Times New Roman" w:cs="Arial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субъекты, соответствующие в совокупности требованиям, установленным статьей 4 Фед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ерального закона от 24.07.2007 №209-ФЗ «О развитии малого и среднего предпринимательства в Российской Федерации» (для индивидуальных предпринимателей и юридических лиц), требованиям, установленным  настоящим  Порядком, включенные в Единый реестр субъектов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малого и среднего предпринимательства в соответствии со статьей 4.1 Федерального закона от 24.07.2007 №209-ФЗ «О развитии малого и среднего предпринимательства в Российской Федерации» (для индивидуальных предпринимателей и юридических лиц), осуществляющие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территории городского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 Ханты-Мансийского автономного округа – Югры предпринимательскую деятельность в приоритетных для города направлениях.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before="10" w:after="0" w:line="266" w:lineRule="exac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6.Критерии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отбора получателей субсидий, имеющих право на получение субсидий: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before="10" w:after="0" w:line="266" w:lineRule="exac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зарегистрированные и (или) состоящие на налоговом учете;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before="10" w:after="0" w:line="266" w:lineRule="exac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соответствующие требованиям, указанным в пункте 2.2. Порядка;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before="10" w:after="0" w:line="266" w:lineRule="exac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осуществляющие деятельность на территории города Мегиона и предоставившие полный пакет документов, указанных в 2.3, соответствующих требованиям, установленным настоящим Порядком.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before="10" w:after="0" w:line="266" w:lineRule="exac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7.Способом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проведения отбора является запрос предложений.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 субсидиях размещаются на едином портале бюджетной системы Российской Федерации в информационно-телекоммуникационной сети «Интернет» (далее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единый портал) (в разделе единого портала) в порядке, установленном Министерством финансов Российской Федерации.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center"/>
        <w:spacing w:after="0" w:line="266" w:lineRule="exact"/>
        <w:widowControl w:val="off"/>
        <w:rPr>
          <w:rFonts w:ascii="Times New Roman" w:hAnsi="Arial" w:eastAsia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Порядок</w:t>
      </w:r>
      <w:r>
        <w:rPr>
          <w:rFonts w:ascii="Times New Roman" w:hAnsi="Arial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проведения</w:t>
      </w:r>
      <w:r>
        <w:rPr>
          <w:rFonts w:ascii="Times New Roman" w:hAnsi="Arial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отбора</w:t>
      </w:r>
      <w:r>
        <w:rPr>
          <w:rFonts w:ascii="Times New Roman" w:hAnsi="Arial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получателей</w:t>
      </w:r>
      <w:r>
        <w:rPr>
          <w:rFonts w:ascii="Times New Roman" w:hAnsi="Arial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Arial" w:eastAsia="Times New Roman" w:cs="Times New Roman"/>
          <w:color w:val="000000"/>
          <w:spacing w:val="1"/>
          <w:sz w:val="24"/>
          <w:szCs w:val="24"/>
          <w:lang w:eastAsia="ru-RU"/>
        </w:rPr>
      </w:r>
      <w:r>
        <w:rPr>
          <w:rFonts w:ascii="Times New Roman" w:hAnsi="Arial" w:eastAsia="Times New Roman" w:cs="Times New Roman"/>
          <w:color w:val="000000"/>
          <w:spacing w:val="1"/>
          <w:sz w:val="24"/>
          <w:szCs w:val="24"/>
          <w:lang w:eastAsia="ru-RU"/>
        </w:rPr>
      </w:r>
    </w:p>
    <w:p>
      <w:pPr>
        <w:ind w:firstLine="567"/>
        <w:jc w:val="center"/>
        <w:spacing w:after="0" w:line="266" w:lineRule="exac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субсидий</w:t>
      </w:r>
      <w:r>
        <w:rPr>
          <w:rFonts w:ascii="Times New Roman" w:hAnsi="Arial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для</w:t>
      </w:r>
      <w:r>
        <w:rPr>
          <w:rFonts w:ascii="Times New Roman" w:hAnsi="Arial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предоставления</w:t>
      </w:r>
      <w:r>
        <w:rPr>
          <w:rFonts w:ascii="Times New Roman" w:hAnsi="Arial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субсидий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center"/>
        <w:spacing w:after="0" w:line="266" w:lineRule="exac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Отбор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осуществляется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Уполномоченны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Электронный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система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Электронный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Обеспечение доступа к системе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Электронный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осуществляется с использованием федеральной государственной информационной системы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ьных услуг в электронной форме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Электронный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подписывается усиленной </w:t>
      </w:r>
      <w:hyperlink r:id="rId11" w:tooltip="garantF1://12084522.54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квалифицированной электронной подписью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руководителя Уполномоченного органа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или уполномоченного им лица, публикуется на едином портале.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целях проведения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отбора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Уполномоченный орган не позднее 10-ти календарных дней до даты начала или окончания приема предложений (заявок) участников отбора размещает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системе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«Электронный бюджет»,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а также при необходимости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официальном сайте главного распорядителя бюджетных средств в сети «Интернет» объявление о проведении отбора, которое содержит следующую информацию: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сроки проведения отбора: 10 календарных дней;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даты начала подачи и окончания приема предложений (заявок) участников отбора: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наименование, место нахождения, почтовый адрес и адрес электронной почты, номер контактного телефона Уполномоченного органа: 628680, Ханты-Мансийский автономный округ – Югра, город Мегион, ул. Нефтяников, д. 8, кабинет 105, </w:t>
      </w:r>
      <w:hyperlink r:id="rId12" w:tooltip="mailto:dep@admmegion.ru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dep@admmegion.ru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4" w:name="sub_142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результаты предоставления субсидии в соответствии с пунктом 3.8 настоящего Порядка;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/>
      <w:bookmarkStart w:id="5" w:name="sub_1426"/>
      <w:r/>
      <w:bookmarkEnd w:id="4"/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доменное имя и (или) указатели страниц государственной информационной системы в сети «Интернет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»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;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требования к участникам отбора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и к перечню документов, представляемых ими для подтверждения их соответствия указанным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требованиям в соответствии с </w:t>
      </w:r>
      <w:hyperlink w:tooltip="#sub_1015" w:anchor="sub_1015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пунктами 1.5</w:t>
        </w:r>
      </w:hyperlink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, </w:t>
      </w:r>
      <w:hyperlink w:tooltip="#sub_1022" w:anchor="sub_1022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2.2</w:t>
        </w:r>
      </w:hyperlink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настоящего Порядка;</w:t>
      </w:r>
      <w:r>
        <w:rPr>
          <w:rFonts w:ascii="Times New Roman" w:hAnsi="Times New Roman" w:cs="Times New Roman" w:eastAsiaTheme="minorEastAsia"/>
          <w:color w:val="ff0000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color w:val="ff0000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6" w:name="sub_1427"/>
      <w:r/>
      <w:bookmarkEnd w:id="5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категории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критерии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отбора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соответствии с пункт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1.5,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1.6 настоящего Порядка;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порядок подачи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участниками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отбора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требования, предъявляемые к их форме и содержанию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соответствии с пункт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настоящего Порядка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bookmarkEnd w:id="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порядок отзыва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заявок участниками отбора,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порядок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внесения изменений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заявки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пункт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ом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2.4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настоящег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 Порядка;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правила рассмотрения и оценки предложений участников отбора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2.10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настоящего Порядка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порядок отклонения заявок, а также информацию об основаниях их отклонения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2.11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настоящего Порядка;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объем распределяемой субсидии в рамках отбора, порядок расчета размера субсидии, установленный правовым актом, правила 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 в соответствии с пунктом 3.7 настоящего Порядка;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: участник отбора со дня размещения объявления о проведении отбора, не позднее 3-го рабочего дня до дня завершения подачи заяво</w:t>
      </w:r>
      <w:r>
        <w:rPr>
          <w:rFonts w:ascii="Times New Roman" w:hAnsi="Times New Roman" w:cs="Times New Roman"/>
          <w:sz w:val="24"/>
          <w:szCs w:val="24"/>
        </w:rPr>
        <w:t xml:space="preserve">к вправе направить в Уполномоченный орган не более 5 запросов о разъяснении положений объявления о проведении отбора. Уполномоченный орган в ответ на запрос направляет разъяснение в срок не позднее одного рабочего дня до дня завершения срока подачи заявок;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срок, в течение которого победитель отбора должен подписать соглашение о предоставлении субсидии в соответствии с пунктом 3.5 настоящего Порядка;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условия признания победителя отбора уклонившимся от заключения соглашения о предоставлении субсидии в соответствии с пунктом 3.5 настоящего Порядка;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сроки размещения протокола подведения итогов отбора (документа об итогах проведения отбора) на едином портале, а также на официальном сайте главного распорядителя бюджетных средств в сети «Интернет», которые не могут быть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позднее 14-го календарного дня, следующего за днем определения победителя отбора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Внесение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календарных дней;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внесении изменений в объявление о проведении отбора изменение способа отбора не допускается;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внесения изменений в объявление о проведении отбора получателей субсидии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7" w:name="sub_102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2.Требования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 участникам отбора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получателям субсидии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которым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должен соответствовать по состоянию на даты рассмотрения заявки и заключения соглашения:</w:t>
      </w:r>
      <w:bookmarkEnd w:id="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отсутствие просроченной задолженности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возврату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бюджет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 Ханты-Мансийского автономного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Югры, в соответствии с настоящим Порядком, иных субсидий,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бюджетных инвестиций, а также иная просроченная (неурегулированная) задолженность по денежным обязательствам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перед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городским округом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 Ханты-Мансийского автономного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Югры;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получател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субсидии (участник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отбора)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юридические лица не должны находиться в процессе реорганизации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(за исключением реорганизации в форме присоединения к юридическому лицу,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являющемуся получателем субсидии (участником отбора), другого юридического лица), ликвидации, в отношении них не введена процедура банкротства, деятельность получателей субсидии (участников отбора) не приостановлена в порядке,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предусмотренном законодательством Российской Федерации, а получатели субсидии (участники отбора)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индивидуальные предприниматели 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должны прекратить деятельность в качестве индивидуального предпринимателя (на основании информации, содержащейся в Едином федеральном реестре сведений о банкротстве, размещенной в открытом доступе в сети интернет по адресу «https://bankrot.fedresurs.ru/»)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получателя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субсидии (участника отбора), являющегося юридическим лицом, об индивидуальном предпринимателе и о физическом лице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производителе товаров, работ, услуг, являющихся получателями субсидии (участниками отбора);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 являются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иностранными юридическими лицами, в том числе мест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получают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финансовую поддержку за счет средств бюджета Ханты-Мансийского автономного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Югры и (или) за счет средств бюджета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 Ханты-Мансийского автономного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Югры, от организаций инфраструктуры поддержки субъектов малого и среднего предпринимательства Ханты-Мансийского автономного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Югры по тем же основаниям на те же цели, указанные в пункте 3.2. настоящего Порядка;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trike/>
          <w:sz w:val="24"/>
          <w:szCs w:val="24"/>
          <w:lang w:eastAsia="ru-RU"/>
        </w:rPr>
      </w:pPr>
      <w:r/>
      <w:bookmarkStart w:id="8" w:name="sub_1437"/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не находится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bookmarkEnd w:id="8"/>
      <w:r>
        <w:rPr>
          <w:rFonts w:ascii="Times New Roman" w:hAnsi="Times New Roman" w:eastAsia="Calibri" w:cs="Times New Roman"/>
          <w:strike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trike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 является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иностранным агентом в соответствии с Федеральным законом «О контроле за деятельностью лиц, находящихся под иностранным влиянием»;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осуществлять деятельность на территории города Мегиона.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участия в отборе заявитель представляет в сроки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установленные в объявлении о проведении отбора не более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одного предложения (заявки)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которое включает, в том числе согласие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публикацию (размещение) в информационно-телекоммуникационной сети Интернет информации об участнике отбора, иной информации об участнике отбора, связанной с соответствующим отбором, а также согласие на обработку персональных данных (для  физических  лиц)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составе заявки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участником отбора предоставляются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следующие документы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подтверждающие фактические затраты, произведенные по направлениям, указанным в пункте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3.1, 3.2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настоящего Порядка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оригиналы или копии, заверенные подписью руководителя и печатью (при ее наличии) учредительных документов (при наличии);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документы, подтверждающие произведенные расходы (оригиналы или копии, заверенные подписью руководителя и печатью (при ее наличии): договор аренды/субаренды, договор купли-продажи или поставки, (в том числе приложениями к договору, упоминаемыми по тексту 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оговора, включая приложения, устанавливающие форму документа, а также документами, указанными в договоре как неотъемлемая часть договора – при наличии) и дополнительными соглашениями (при приобретении товаров договор представляется в случае его заключения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 наличии), счет (при наличии), акт выполненных работ (оказания услу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 (при наличии), товарная накладная (при наличии), для приемки всех выполненных строительно-монтажных работ различного назначения акт о приемке выполненных работ (форма № КС-2) и справка о стоимости выполненных работ и затрат (форма № КС-3) (при наличии);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подтверждающие произведенные затраты (чеки или бланки строгой отчетности, оформленные в соответствии с </w:t>
      </w:r>
      <w:hyperlink r:id="rId13" w:tooltip="https://mobileonline.garant.ru/#/document/12130951/entry/0" w:anchor="/document/12130951/entry/0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от 22.05.2003 №54-ФЗ «О применении контрольно-кассовой техники при осуществлении расчетов в Российской Федерации»,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выписки (справки) по счету (банковской карте),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чеки электронных терминалов при проведении операций с использованием банковской карты,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или платежные поручения с отметкой банка об исполнении).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безналичных расчетов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банковский документ/копию банковского документа, отражающий движение денежных средств на расч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тном сч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 участника отбора (выписка, подтверждение платежа).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Копия акта сверки (в случае необходимости)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Допускается предоставление документа с наименованием, отличным от наименования документа, указанного в платежных документах, товарной накладной, универсальном передаточном документе либо в договоре, в случае, если реквизиты (либо номер докум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ента, при указании только номера) представленного документа совпадают с реквизитами (либо номером документа, при указании только номера) документа, указанного в платежных документах, товарной накладной, универсальном передаточном документе либо в договоре.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Документы, подтверждающие фактические затраты, должны соответствовать требованиям Федерального закона от 06.12.2011 №402-ФЗ «О бухгалтерском учете».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возмещении части затрат на аренду (субаренду) нежилых помещений, оплату коммунальных услуг нежилых помещений на основании договора аренды (субаренды)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 аренды (субаренды) нежилых помещений, используемых в целях реализации социально значимого (приоритетного) вида деятельности, со всеми приложениями (в том числе приложениями, упоминаемыми по тексту договора, вкл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ючая приложения, устанавливающие форму документа, документами, указанными в договоре как неотъемлемая часть договора, а также актом приема-передачи помещения (передаточным актом), если его составление предусмотрено договором и дополнительными соглашениями.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договор аренды (субаренды) заключен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 не менее одного года, такой договор и дополнительные соглашения к нему предоставляются со специальной регистрационной надписью, удостоверяющей проведенную государственную регистрацию, либо с иным документом, удостоверяющим государственную регистрацию.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возмещении части затрат на приобретение оборудования (основных средств)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документы, позволяющие идентифицировать оборудование: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техническая документация (паспорт, гарантийный талон, руководство пользователя или иной документ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 наличии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на оборудование, или фотография заводской наклейки на оборудовании, или фотография части оборудования, или копия этикетки производителя оборудования, которые содержат серийный (заводской) номер оборудования, а если серийный (заводской) номер отсутствует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иную информацию (марка и модель; фирма-изготовитель; заводская маркировка, дата производства (изготовления), позволяющую идентифицировать оборудование;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фотографии оборудования, на которых изображен его общий вид (в том числе из сети «Интернет», если изображение на такой фотографии полностью соответствует (модель, цвет, комплектация) приобретенному оборудованию.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возмещении части затрат на оплату коммунальных услуг нежилых помещений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 xml:space="preserve">акт сверки, если ежемесячная плата за коммунальные услуги не является фиксированной.</w:t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возмещении части затрат на приобретение лицензионных программных продуктов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документ, подтверждающий, что приобретенный продукт является лицензионным.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возмещении части затрат на обязательную сертификацию произведенной продукции и (или) декл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арирование ее соответствия - документ, удостоверяющий соответствие продукции 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ребованиям технических регламентов: сертификат соответствия, выдаваемый органом по сертификации, или декларация о соответствии продукции, зарегистрированные в реестре сертификатов соответствия и деклараций о соответствии Федеральной службы по аккредитации.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участников отбора юридических лиц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копии документов в зависимости от режима налогообложения: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применяющих общую систему налогообложения: копию бухгалтерского баланса и отчета о финансовых результатах за предшествующий календарный год;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применяющих упрощенную систему налогообложения: копию налоговой декларации в связи с применением упрощенной системы налогообложения по налогу за пре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дшествующий календарный год. Указанные субъекты имеют право представить копию бухгалтерского баланса и отчета о финансовых результатах, в этом случае налоговая декларация по налогу в связи с применением упрощенной системы налогообложения не представляется;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впервые зарегистрированным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действующим менее 1 года, для отнесения к субъектам малого и среднего предпринимательства: справку о выручке от реализации товаров (работ, услуг) и балансовой стоимости активов (остаточной стоимости основных средств и нематериальных активов) и сведения 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фактической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численности работников за период, прошедший со дня их государственной регистрации до даты (на дату) подачи документов на субсидию.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участников отбора индивидуальных предпринимателей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копии документов в зависимости от режима налогообложения: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применяющих общую систему налогообложения: копию налоговой декларации по налогу на доходы физических лиц (форма 3-НДФЛ) за предшествующий календарный год;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применяющих систему налогообложения по налогу на профессиональный доход: справку о состоянии расчетов (доходов) по налогу на профессиональный доход за предшествующий календарный год;</w:t>
      </w:r>
      <w:r>
        <w:rPr>
          <w:rFonts w:ascii="Segoe UI" w:hAnsi="Segoe UI" w:eastAsia="Times New Roman" w:cs="Segoe U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применяющих упрощенную систему налогообложения: копию налоговой декларации по налогу в связи с применением упрощенной системы налогообложения за предшествующий календарный год;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применяющих патентную систему налогообложения: выписку из книги доходов индивидуальных предпринимателей за предшествующий календарный год;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применяющих систему налогообложения для сельскохозяйственных товаропроизводителей (единый сельскохозяйственный налог): выписку из книги учета доходов и расходов индивидуальных предпринимателей за предшествующий календарный год;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впервые зарегистрированным и действующим менее 1 года, для отнесения к субъектам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малого и среднего предпринимательства: справку о выручке от реализации товаров (работ, услуг)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балансовой стоимости 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Участник отбора вправе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 собственной инициат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иве, приложить копии документов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копию свидетельства о государственной регистрации (для юридических лиц);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выписку из единого государственного реестра юридических лиц (для юридического лица);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копию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выписку из единого государственного реестра физического лица в качестве индивидуального предпринимателя (для индивидуального предпринимателя);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справку из налогового органа об исполнении налогоплательщиком обязанности по уплате налогов, сборов, страховых взносов, пеней и налоговых санкций;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копии лицензий, сертификатов, патентов, свидетельств, разрешений на осуществление предпринимательской деятельности (при наличии).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Требования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к заявкам,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представляемым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участниками отбора: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участник отбора формирует заявку в электронной форме посредством заполнения соответствующих экранных форм веб-интерфейса системы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«Электронный бюджет» и представляет в систему «Электронный бюджет» электронные копии документов (документы на бумажном носителе, преобразованные в электронную форму путем сканирования), представление которых предусмотрено в объявлении о проведении отбора;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заявка подписывается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простой электронной подписью подтвержденной учетной записи физического лица в федеральной государственной информационной системе «Еди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(для физических лиц);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окументы, обосновывающие фактические затраты, должны подтверждать затраты, понесенные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Субъектом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ранее двенадцати месяцев, предшествующих дате принятия заявления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качестве документов, подтверждающих затраты, не должны быть представлены документы по сделкам, совершенным: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между участниками отбора, заявленными на получение субсидии и лицами, являющимися учредителями или руководителями данных Субъектов;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между участниками отбора, заявленными на получение субсидии, зарегистрированными в качестве индивидуальных предпринимателей и физическими лицами, фактически являющимися одним и тем же лицом.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contextualSpacing/>
        <w:ind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2.4.Участник отбора  вправе отозвать заявку на участие в отборе в любое время до окончания срока подачи заявки на участие в отборе.</w:t>
      </w:r>
      <w:r/>
    </w:p>
    <w:p>
      <w:pPr>
        <w:contextualSpacing/>
        <w:ind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Отзыв заявки формируется заявителем в электронной форме посредством заполнения соответствующих экранных форм веб-интерфейса системы «Электронный бюджет».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Внесение изменений в заявку на участие в отборе осуществляется заявителем посредством заполнения соответствующих экранных форм веб-интерфейса системы «Электронный бюджет» в срок до окончания срока приема заявок.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1.Со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дня регистрации уведомления об отзыве заявки заявка признается отозванной участником отбора и не подлежит рассмотрению в соответствии с Порядком.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2.Основанием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возврата заявки является отзыв заявки участником отбора.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3.Уполномоченный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 обеспечивает возврат заявки участнику отбора не позднее 5 рабочих дней со дня регистрации уведомления об отзыве заявки с приложением документов, представленных участником отбора в соответствии с пунктом  2.3 Порядка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4.Со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дня регистрации Уполномоченным органом уведомления о внесении изменений в заявку заявка признается измененной участником отбора и подлежит рассмотрению в порядке, установленном настоящим разделом, как вновь поданная.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.Участник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отбора несет ответственность за подлинность и достоверность представленных в целях получения субсидии документов и информации.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Возможность возврата заявок на доработку отсутствует.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.Уполномоченный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 не вправе требовать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Субъектов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субсидий.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.Отбор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получателей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субсидий осуществляется в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системе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«Электронный бюджет», в которой обеспечивается: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доступ к системе «Электронный бюджет» с использованием федеральной государственной информ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взаимодействие главного распорядителя бюджетных средств, с участниками отбора с использованием документов в электронной форме в системе «Электронный бюджет»;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открытие доступа главному распорядителю бюджетных средств, в системе «Электронный бюджет» к заявкам для их рассмотрения;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автоматическое формирование протокола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вскрытия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заявок на едином портале и подписание его усиленной квалифицированной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электронной подписью руководителя главного распорядителя бюджетных средств (уполномоченного им лица)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подписания;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порядок ранжирования поступивших заявок, определяемый при проведении отбора путем запроса предложений – исходя из очередности поступления заявок;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электронной подписью руководителя главного распорядителя бюджетных средств (уполномоченного им лица)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2.9.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1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При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определении высшим исполнительным органом Ханты-Мансийского автономного округа – Югры государственной информац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ионной системы, обеспечивающей проведение отбора, в соответствии с пунктом 5 статьи 78.5 Бюджетного кодекса Российской Федерации отбор получателей субсидии осуществляется в государственной информационной системе Ханты-Мансийского автономного округа – Югры,</w:t>
      </w:r>
      <w:r>
        <w:rPr>
          <w:rFonts w:ascii="Calibri" w:hAnsi="Calibri" w:cs="Times New Roman" w:eastAsiaTheme="minorEastAsia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в том числе в рамках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информационного взаимодействия с системой «Электронный бюджет», при этом обеспечивается: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публикация на едином портале информации о странице сайта, на котором размещается объявление о проведении отбора, о его отмене, информация о ходе и результатах отбора;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размещение объявления об отборе в государственной информационной системе не ранее размещения информации о субсидии в соответствии с пунктом 1 статьи 78.5 Бюджетного кодекса Российской Федерации.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10.Правила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рассмотрения и оценки заявок участников отбора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проведении отбора в системе «Электронный бюджет» проверка участника отбора на соответствие требованиям, опред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еленным пунктом 2.2 настоящего Порядка, осуществляется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требованиям, оп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ределенным пунктом 2.2 настоящего Порядка,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Запрещается требовать от участника отбора пред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ставления документов и информации в целях подтверждения соответствия участника отбора требованиям, определенным пунктом 2.2 настоящего Порядка, при наличии соответствующей информации в государственных информационных системах, доступ к которым у главного 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случае отсутствия технической возможности осуществления автоматической проверки в системе «Электронный бюджет» Уполномоченный орган самостоятельно запрашивает 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течени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5 рабочих дней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порядке межведомственного информационного взаимодействия, в том числе в целях подтверждения соответствия участников отбора требованиям, установленным </w:t>
      </w:r>
      <w:hyperlink w:tooltip="#sub_1015" w:anchor="sub_1015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пунктами 1.5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w:tooltip="#sub_1022" w:anchor="sub_1022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lang w:eastAsia="ru-RU"/>
          </w:rPr>
          <w:t xml:space="preserve">2.2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Порядка: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сведения о том, что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дату рассмотрения заявки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4" w:tooltip="https://login.consultant.ru/link/?req=doc&amp;base=LAW&amp;n=451215&amp;dst=5769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пунктом 3 статьи 47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Налогового кодекса Российской Федерации, задолженность по уплате налогов, сборов и страховых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взносов в бюджеты бюджетной системы Российской Федерации на дату формирования справки на основании данных, содержащихся в информационных ресурсах налогового органа (в соответствии с подпунктом 10 пункта 1 статьи 32 Налогового кодекса Российской Федерации);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органах администрации гор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 сведения об отсутствии просроченной задолженности по возврату в бюджет городского округа Мегион Ханты-Мансийского автономного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округа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Югры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городским округом Мегион Ханты-Мансийского автономного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округа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Югры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Департаменте экономическо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 развития Ханты-Мансийского автономного округа – Югры, в Департаменте промышленности Ханты-Мансийского автономного округа – Югры, в организации инфраструктуры поддержки субъектов малого и среднего предпринимательства Ханты-Мансийского автономного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Югры запрашивает сведения о том, что ранее в отношении участника отбора было принято (не было принято) решение об оказании аналогичной поддержки (поддержки, условия оказания которой совпадают, включая форму,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вид поддержки и цели ее оказания) и сроки ее оказания не истекли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случае установления факта аналогичной поддержки после осуществления проверки в Едином реестре субъектов МСП – получателей поддержки на сайте ФНС России:  </w:t>
      </w:r>
      <w:hyperlink r:id="rId15" w:tooltip="https://rmsp-pp.nalog.ru/" w:history="1">
        <w:r>
          <w:rPr>
            <w:rStyle w:val="880"/>
            <w:rFonts w:ascii="Times New Roman" w:hAnsi="Times New Roman" w:eastAsia="Times New Roman" w:cs="Times New Roman"/>
            <w:color w:val="auto"/>
            <w:sz w:val="24"/>
            <w:szCs w:val="24"/>
            <w:lang w:eastAsia="ru-RU"/>
          </w:rPr>
          <w:t xml:space="preserve">https://rmsp-pp.nalog.ru/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наличие факта предоставления финансовой поддержки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Аналогичной признается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поддержка, за счет которой субсидируются одни и те же затраты.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.В течение 3 рабочих дней со дня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окончания приема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заявок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полномоченным органом осуществляется обследование деятельности Субъектов (с согласованием даты обследования с участником отбора).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Обследование деятельности Субъекта осуществляется с целью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установления соответствия осуществляемой деятельности участника отбора социально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значимому (приоритетному) виду деятельности на территории городского округа Мегион Ханты-Мансийского автономного округа – Югры, согласно заявленному виду деятельности, а также подтверждения понесенных затрат: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возмещении части затрат на аренду (субаренду) нежилых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помещений и части затрат на оплату коммунальных услуг нежилых помещений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осмотр нежилого помещения, используемого в целях предпринимательской деятельности по договору аренды (субаренды), либо находящегося на праве собственности участника отбора;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возмещении части затрат на приобретение оборудован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ия (основных средств) и лицензионных программных продуктов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осмотр оборудования (основных средств), лицензионных программных продуктов, используемых в целях предпринимательской деятельности, в соответствии с документами, представленными участником отбора;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возмещении части затрат субъектам, вперв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ые зарегистрированным и действующим менее 1 года и осуществляющим социально значимые (приоритетные) виды деятельности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осмотр нежилого помещения, используемого в целях предпринимательской деятельности по договору аренды (субаренды), либо находящегося на 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раве собственности участника отбора, оборудования (основных средств), лицензионных программных продуктов, оргтехники, мебели, инвентаря, используемых в целях предпринимательской деятельности, в соответствии с документами, представленными участником отбора.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После обследования деятельности участника отбора, Уполномоченным органом составляется и подписывается Акт осмотра места осуществления предпринимательской деятельности,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огласно приложению 5 к Порядку.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участник отбора не предоставляет возмож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ности обследовать деятельность или по  результатам обследования  установлено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 соответствие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осуществляемой деятельности участника  отбора социально-значимому (приоритетному) виду деятельности на территории городского округа Мегион Ханты-Мансийского автономного округа – Югры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 осуществления  деятельности  по  заявл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енному  виду,  не  использование и  не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соответствие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оборудования (основных средств) или лицензионных программных продуктов, или производственного инвентаря, сырья и материальных запасов по  заявленному виду, заявка на  участие  в  отборе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приложенные к ней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документы не рассматрива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Уполномоченным органом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 соответствующей  части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2.10.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Уполномоченный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 не позднее 20 рабочих дней со дня окончания срока приема заявок (предложений), осуществляет их проверку на предмет соответствия требованиям, установленным в объявлении о проведении отбора, а также на соответствие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требованиям и критериям в соответствии с настоящим Порядком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По результатам проверки заявок не позднее двух рабочих дней со дня окончания срока проверки заявок Уполномоченный орган обеспечивает формирование протокола подведения итогов отбора получателей субсидии.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Уполномоченный орган после подписания протокола подведения итогов отбора получателей субсидии в течени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е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10 рабочих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дней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обеспечивает подготовку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и утверждение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постановления администрации города о предоставлении/об отказе в предоставлении субсидии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11.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По результатам проверки заявок, не позднее 2 рабочих дней со дня окончания срока проверки заявок,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Уполномоченный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орган принимает решение об отклонении заявки  с указанием причин отклонения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путем заполнения соответствующих экранных форм веб-интерфейса системы «Электронный бюджет»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при наличии следующих оснований: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несоответствие участника отбора, требованиям, установленным пунктами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1.5,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2.2. настоящего порядка;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6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непредоставление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(предоставление не в полном объеме)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участника отбора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документов, указанных в объявлении о проведении отбора, предусмотренных настоящим Порядком;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6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подача участником отбора предложения (заявки) после даты и (или) времени, определенных для подачи предложений (заявок).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12.Порядок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случаи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отмены проведения отбора получателей субсидии: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2.12.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Размещение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уполномоченным органом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2.12.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Объявление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об отмене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Уполномоченного органа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(уполномоченного им лица),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размещается на едином портале и содержит информацию о причинах отмены отбора получателей субсидий.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2.12.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Участники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отбора получателей субсидий, подавшие заявки, информируются об отмене проведения отбора получателей субсидий в системе «Электронный бюджет».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2.12.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После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окончания срока отмены проведения отбора получателей субсидий в соответствии с абзацем 2 настоящего пункта и до заключения соглашения с победителем (победителям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и) отбора получателей субсидий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Отбор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признается несостоявшимся, о чем оформляется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соответствующий протокол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следующих случаях: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окончании срока подачи заявок не подано ни одной заявки;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результатам рассмотрения заявок отклонены все заявки.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III. Условия и порядок предоставления субсидии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1.Финансовая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поддержка Субъектам, осуществляющим социально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значимые (приор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итетные) виды деятельности, предоставляется по основному виду деятельности, в соответствии с перечнем социально значимых (приоритетных) видов деятельности Субъектов с указанием кода по общероссийскому классификатору видов экономической деятельности (далее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кодом ОКВЭД).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период реализации Программы приоритетные виды деятельности Субъектов определяются в соответствии с ОКВЭД, коды ОКВЭД приведены в приложении 1 к настоящему Порядку.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Данные приоритетные виды деятельности являются наиболее важными для социально-экономического развития муниципального образования и повышения качества жизни населения городского округа Мегион Ханты-Мансийского автономного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Югры.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наличии у заявителя нескольких субъектов малого и среднего предпринимательства, заявитель может получить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субсидию только по первому зарегистрированному заявлению о предоставлении субсидии и приложенных к нему документов, независимо от количества Субъектов, осуществляющих деятельность на территории городского округа Мегион Ханты-Мансийского автономного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Югры.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Субсидии предоставляются Субъектам для возмещения фактически понесенных и документально подтвержденных затрат (в том числе НДС) в соответствии 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направлениями, предусмотренными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настоящим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Порядком.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возмещению принимаются затраты, произведенные Субъектами в течение 12 месяцев, предшествующих дате регистрации заявления о предоставлении субсидии.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gree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Субъекты МСП, получившие финансовую поддержку, обязаны в течение 12 месяцев с даты получения поддержки: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сохранять рабочие места (при их наличии на дату предоставления заявления на субсидию);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осуществлять предпринимательскую деятельность (наличие в Едином реестре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субъектов малого и среднего предпринимательства сведений о категории субъекта малого и среднего предпринимательства).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2.Субсидия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предоставляется Субъектам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рамках реализации регионального проекта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«Малое и среднее предпринимательство и поддержка индивидуальной предпринимательской инициативы»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посредством предоставления финансовой поддержки Субъектам, осуществляющим социально значимые (приоритетные) виды деятельности на территории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Мегион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 одному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или нескольким из следующих направлений по возмещению части затрат: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аренду (субаренду) нежилых помещений: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Возмещению подлежат фактически произведенные и документально подтвержденные затраты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Субъектов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договорам аренды (субаренды) нежилых помещений (за исключением нежилых помещений, находящихся в государственной и муниципальной собственности, включенных в перечни имуществ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в соответствии с Федеральным законом Российской Федерации от 24.07.2007 №209-ФЗ «О развитии малого и среднего предпринимательства в Российской Федерации») в размере не более 50% от общего объема затрат и не более 300 тысяч рублей на одного Субъекта в год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Предельная сумма возмещения затрат за 1 м² арендной платы для Субъекта не должна превышать 1 500 рублей в месяц.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приобретени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оборудования (основных средств) и лицензионных программных продуктов: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Возмещению подлежат фактически произведенные и документально подтвержденные затраты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Субъектов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оборудование (основные средства) и лицензионные программные продукты не более 80% от общего объема затрат и не более 500 тысяч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рублей на одного Субъекта в год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Возмещение части затрат Субъектам осуществляется на: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Приобретение оборудования, относящегося к основным средствам (далее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оборудование), стоимостью более 10 тысяч рублей за единицу и содержащегося в группировке 320 «Информационное, компьютерное и телекоммуникационное оборудование» или в группировке 330 «Прочие машины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оборудование, включая хозяйственный инвентарь, и другие объекты» Общероссийского классификатора основных фондов (ОКОФ), принятого и в веденного в действие Приказом Федерального агентства по техническому регулированию и метрологии от 12.12.2014 №2018-ст.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Субъектов, осуществляющих предпринимательскую дея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тельность в соответствии с перечнем социально значимых (приоритетных) видов деятельности с кодом  ОКВЭД 86 «Деятельность в области здравоохранения», оборудование должно состоять в государственном реестре медицинских изделий и организаций (индивидуальных пр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едпринимателей), осуществляющих производство и изготовление медицинских изделий, Федеральной службы по надзору в сфере здравоохранения, в соответствии с Федеральным законом от 21.11.2011 №323-ФЗ «Об основах охраны здоровья граждан в Российской Федерации».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Приобретение лицензионных программных продуктов, содержащихся в группировке 730 «Программное обеспечение и базы данных» ОКОФ, при обязательном предъявлении копии лицензии.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Возмещению не подлежат затраты Субъектов: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оплату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коммунальны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услуг нежилых помещений: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Возмещению подлежат фактически произведенные и документально подтвержденные затраты Субъектов на оплату услуг по теплоснабжению, газоснабжению (по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ставка газа), водоснабжению, водоотведению, энергоснабжению, вывозу твердых коммунальных отходов в соответствии с заключенными договорами на предоставление соответствующих услуг по нежилым помещениям, используемым в целях осуществления предпринимательской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деятельности, в размере не более 80% от общего объема затрат и не более 200 тысяч рублей в год на одного Субъекта в год.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обязательную сертификацию произведенной продукции и (или) декларирование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соответствия.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Возмещению подлежат фактически произведенные и документально подтвержденные затрат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 Субъектов по договорам на оказание услуг (выполнение работ) по обязательной сертификации произведенной продукции и (или) декларирование соответствия произведенной продукции в размере не более 80% от общего объема затрат и не более 100 тысяч рублей в год.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государственную регистрацию, на приобретение инвентаря производственного назначения, рекламу, выплаты по передаче прав на франшизу (паушальный взнос), ремонтные работы в нежилых помещениях, выполняемые при подготовке помещений к эксплуатации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Возмещению подлежат фактически произведенные и документально подтвержденные затраты Субъектов, впервые зарегистрированных и действующих менее 1 года, в размере не более 80% от общего объема затрат и не более 300 тысяч рублей в год.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Субъект, в отношении которого администрацией города Мегиона принято решение о предоставлении субсидии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возмещение части затрат по приобретению оборудования (основных средств) и лицензионных программных продуктов, Порядка,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письменно обязуется использовать по целевому назначению на территории городского округа Мегион Ханты-Мансийского автономного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округа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Югры приобретенное оборудование, не продавать, не передавать в аренду или в пользование другим лицам в течение 2-х лет после получения субсидии. Обязательство Субъекта включается в текст соглашения (договора) о предоставлении Субсидии.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несоблюдения Субъектом указанного обязательства субсидия в полном объеме подлежит возврату в бюджет городского округа Мегион Ханты-Мансийского автономного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округа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Югры в соответствии с действующим законодательством.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предоставления  субсидии Субъектам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требуется предоставлять дополнительные документы, за исключением документов, предоставляемых при отборе.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4.Основания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отказа в предоставлении субсидии: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</w:pPr>
      <w:r/>
      <w:bookmarkStart w:id="0" w:name="undefined"/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несоответствие представленных получателем субсидии документов требованиям, определенным настоящим Порядком или непредставление (представление не в полном объеме) указанных документов;</w:t>
      </w:r>
      <w:bookmarkEnd w:id="0"/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установление факта недостоверности представленной заявителем информации;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trike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ранее в отношении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получателя субсидии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 субъекта малого или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 Аналогичной признается поддержка, за счет которой субсидируются одни и те же затраты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trike/>
          <w:sz w:val="24"/>
          <w:szCs w:val="24"/>
        </w:rPr>
      </w:r>
      <w:r>
        <w:rPr>
          <w:rFonts w:ascii="Times New Roman" w:hAnsi="Times New Roman" w:eastAsia="Times New Roman" w:cs="Times New Roman"/>
          <w:strike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убсидии не предоставляются в случае отсутствия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лимитов бюджетных обязательств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 на предоставление субсидий субъектам малого и среднего предпринимательства на текущий финансовый год по состоянию на 15 декабря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 реализацию муниципальной Программы и указанных в пункте 1.4 раздела I настоящего Порядка;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с даты признания субъекта малого или ср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еднего предпринимательства совершившим нарушение порядка и условий оказания поддержки прошло менее одного года, за исключением случая более раннего устранения субъектом малого или среднего предпринимательства такого нарушения при условии соблюдения им срок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окументов, с даты признания субъекта малого или среднего предпринимательства совершившим такое нарушение прошло менее трех лет. Положения, предусмотренные настоящим абзацем, распространяются на виды поддержки, в отношении которых органом или организацией,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оказавшими поддержку, выявлены нарушения субъектом малого или среднего предпринимательства порядка и условий оказания поддержки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ligatures w14:val="none"/>
        </w:rPr>
      </w:r>
    </w:p>
    <w:p>
      <w:pPr>
        <w:pStyle w:val="895"/>
        <w:ind w:firstLine="0"/>
        <w:jc w:val="both"/>
        <w:tabs>
          <w:tab w:val="left" w:pos="709" w:leader="none"/>
        </w:tabs>
        <w:rPr>
          <w:sz w:val="24"/>
          <w:szCs w:val="24"/>
          <w:highlight w:val="white"/>
          <w14:ligatures w14:val="none"/>
        </w:rPr>
      </w:pPr>
      <w:r>
        <w:rPr>
          <w:sz w:val="28"/>
          <w:szCs w:val="28"/>
          <w:highlight w:val="none"/>
        </w:rPr>
        <w:tab/>
      </w:r>
      <w:r>
        <w:rPr>
          <w:sz w:val="24"/>
          <w:szCs w:val="24"/>
          <w:highlight w:val="white"/>
        </w:rPr>
        <w:t xml:space="preserve">Уполномоченный орган</w:t>
      </w:r>
      <w:r>
        <w:rPr>
          <w:sz w:val="24"/>
          <w:szCs w:val="24"/>
          <w:highlight w:val="white"/>
        </w:rPr>
        <w:t xml:space="preserve"> в течение </w:t>
      </w:r>
      <w:r>
        <w:rPr>
          <w:sz w:val="24"/>
          <w:szCs w:val="24"/>
          <w:highlight w:val="white"/>
        </w:rPr>
        <w:t xml:space="preserve">2 рабочих дней со дня, следующего за днем принятия решения об от</w:t>
      </w:r>
      <w:r>
        <w:rPr>
          <w:sz w:val="24"/>
          <w:szCs w:val="24"/>
          <w:highlight w:val="white"/>
        </w:rPr>
        <w:t xml:space="preserve">казе в предоставлении субсидии, </w:t>
      </w:r>
      <w:r>
        <w:rPr>
          <w:sz w:val="24"/>
          <w:szCs w:val="24"/>
          <w:highlight w:val="white"/>
        </w:rPr>
        <w:t xml:space="preserve"> направляет заявителю уведомление об отказе</w:t>
      </w:r>
      <w:r>
        <w:rPr>
          <w:sz w:val="24"/>
          <w:szCs w:val="24"/>
          <w:highlight w:val="white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sz w:val="24"/>
          <w:szCs w:val="24"/>
          <w:highlight w:val="white"/>
          <w:lang w:eastAsia="ru-RU"/>
        </w:rPr>
        <w:t xml:space="preserve">указа</w:t>
      </w:r>
      <w:r>
        <w:rPr>
          <w:sz w:val="24"/>
          <w:szCs w:val="24"/>
          <w:highlight w:val="white"/>
          <w:lang w:eastAsia="ru-RU"/>
        </w:rPr>
        <w:t xml:space="preserve">нием оснований (причин) отказа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  <w14:ligatures w14:val="none"/>
        </w:rPr>
      </w:r>
      <w:r>
        <w:rPr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Уведомление н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аправляется путем личного вручения заявителю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 или на адрес электронной п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оч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ты, указанной в заявке (в случае отсутствия в заявке адреса электронной почты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 почтовым от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eastAsia="ru-RU"/>
        </w:rPr>
        <w:t xml:space="preserve">правлением с уведомлением о вручении по почтовому адресу, указанному в заявке).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7 рабочих дней со дня издания муниципального правового акта о предоставлении субсидии Уполномоченный орган организует подписание соглашения, которое направляется получателю субсидии посредством почтовой связи с уведомлением о вру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чении либо выдается лично. Получатель субсидии в течение 3 рабочих дней с момента получения проекта соглашения направляет подписанный экземпляр соглашения в адрес Уполномоченного органа. В случае непредставления подписанного соглашения в указанный срок (в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случае направления посредством почтовой связи срок исчисляется 5 рабочими днями с даты получения соглашения Получателем субсидии до момента его передачи Получателем почтовой организации), получатель субсидии считается уклонившимся от заключения соглашения.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9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рабочих д</w:t>
      </w:r>
      <w:r>
        <w:rPr>
          <w:rFonts w:ascii="Times New Roman" w:hAnsi="Times New Roman" w:cs="Times New Roman"/>
          <w:sz w:val="24"/>
          <w:szCs w:val="24"/>
        </w:rPr>
        <w:t xml:space="preserve">ней со дня истечения срока подписания соглашения уполномоченный орган готовит проект постановления администрации города о внесении изменений в решение о предоставлении субсидии в части исключения получателя субсидии, уклонившегося от заключения Соглашения.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3.5.</w:t>
      </w:r>
      <w:r>
        <w:rPr>
          <w:rFonts w:ascii="Times New Roman" w:hAnsi="Times New Roman" w:eastAsia="Calibri" w:cs="Times New Roman"/>
          <w:sz w:val="24"/>
          <w:szCs w:val="24"/>
        </w:rPr>
        <w:t xml:space="preserve">1.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Уполномоченный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орган проводит проверку соответствия получателя субсидии  требованиям, указанным в пункте 2.2 настоящего Порядка, на дату заключения соглашения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,  наличия/ отсутствия  оснований  для  отказа в предоставлении субсидий  указанным в пункте   3.4. настоящего порядка 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 готовит заключение о соответствии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/не соответствии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получателя субсидии требованиям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пункта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2.2 Порядка,  наличии/отсутствии  оснований в  предоставлении  субсидии  указанных в п. 3.4 Порядка</w:t>
      </w:r>
      <w:r>
        <w:rPr>
          <w:rFonts w:ascii="Times New Roman" w:hAnsi="Times New Roman" w:eastAsia="Calibri" w:cs="Times New Roman"/>
          <w:sz w:val="24"/>
          <w:szCs w:val="24"/>
        </w:rPr>
        <w:t xml:space="preserve">. В случае обнаружения уполномоченным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органом оснований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для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отказа в предоставлении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субсидий,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пункте 3.4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порядка, уполномоченный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орган направляет в течение 3 рабочих дней уведомление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заявителю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 невозможности з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аключить соглашение по основаниям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уста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новленным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пунктом 3.4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настоящего Порядка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before="40" w:after="4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Соглашение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 предоставлении субсидии, дополнительное соглашение 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оглашению, в том числе дополнительное соглашение о расторжении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оглашения (при необход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имости) заключаю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тся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по форме, установленной Департаментом финансов администрации города Мегиона.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8"/>
        <w:jc w:val="both"/>
        <w:spacing w:before="40" w:after="40" w:line="240" w:lineRule="auto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 наличии технической возможности формирование соглашения о предоставлении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субсидии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осуществляется в форме электронного документа в системе «Электронный бюджет» или государственной информационной системе Ханты-Мансийского автономного округа – Югры «Региональный электронный бюджет Югры.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Соглашение должно содержать следующие положения: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размер предоставляемой субсидии;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  предоставления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субсидии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согласие Получателя на осуществление главным распорядителем бюджетных средств, предоставляющим субсидию, соблюдения им по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рядка и условий предоставления субсидий, в том числе в части достижения результатов их предоставления, а также проверок государственного (муниципального) финансового контроля в соответствии со статьями 268.1 и 269.2 Бюджетного кодекса 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порядок контроля соблюдения Получателем условий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оглашения;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порядок, сроки и состав отчетности Получателя об использовании субсидии в соответствии с разделом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IV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Порядка;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порядок и сроки возврата средств субсидии;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уменьшения главному распорядителю</w:t>
      </w:r>
      <w:r>
        <w:rPr>
          <w:rFonts w:ascii="Arial" w:hAnsi="Arial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средств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</w:t>
      </w:r>
      <w:r>
        <w:rPr>
          <w:rFonts w:ascii="Arial" w:hAnsi="Arial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недостижении согласия по новым условиям.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Внесение изменений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оглашение осуществляется по инициативе Получателя и (или)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главного распорядителя (далее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стороны) путем заключения дополнительного соглашения 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оглашению, которое является его неотъемлемой частью, в соответствии с типовой формой, утвержденной Департаментом финансов администрации города Мегиона.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 реорганизации получателя субсидии, являющегося юридическим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 реорганизации получателя субсидии, являющегося юридическим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осуществляющего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деятельность в качестве главы крестьянского (фермерского) хозяйства в соответствии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прекращении деятельности получателя субсидии, являющегося индивидуальным предпринимателе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отказа главного распорядителя бюджетных средств от заключения соглашения с победителем отбора получателей субсидий в соответствии с подпунктом 3.5.1 пункта 3.5 настоящего Порядка, в случае обнаружения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факта несоответствия Получателя субсидий требованиям, указанным в объявлении о проведении отбора Получателей субсидий, или представления победителем отбора недостоверной информации,  отказа победителя отбора получателей субсидий от заключения соглашения,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неподписания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победителем отбора получателей субсидий соглашения в срок, в течение которого победитель отбора  получателей субсидии должен подписат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 соглашение, главный распорядитель бюджетных средств направляет иным участникам отбора получателей субсидий, признанным победителями отбора получателей субсидий, заявки которых в части запрашиваемого размера субсидии не были удовлетворены в полном объеме,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предложение об увеличении размера субсидии или заключает соглашение с участником отбора получателей субсидий, заявка которого имеет следующий в порядке убывания рейтинг заявки после последнего участника отбора получателей субсидий, признанного победителем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3.7.Разм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ер субсидии рассчитывается на основании представленных документов, подтверждающих фактически произведенные расходы участника отбора, с учетом установленного процента от общего объема затрат и в сумме не более установленного размера субсидии, определенного </w:t>
      </w:r>
      <w:hyperlink w:tooltip="#sub_1325" w:anchor="sub_1325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пунктом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обращении Субъекта для предоставления субсидии на несколько направлений, предусмотренных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подпунктами  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б, в, 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пункта 3.2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раздела настоящего Порядка, общий максимальный размер субсидии не может превышать 500 тысяч 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год в целом на одного участника отбора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частнику отбора получателей субсидий, которому присвоен первый порядковый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номер в рейтинге, распределяется размер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субсидии, равный значению размера, указанному им в заявке, но не выше (ниже) максимального (минимального) размера субсидии, определенного объявлением о проведении отбора получателей субсидий (при установлении максимального (минимального) размера субсидии).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если субсидия, распределяемая в рамках отбора получателей субсидий, боль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ше размера субсидии, указанного в заявке, поданной участником отбора получателей субсидий, которому присвоен первый порядковый номер, оставшийся размер субсидии распределяется между остальными участниками отбора получателей субсидий, включенными в рейтинг.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Каждому следующему участнику отбора получателей субсидий, включенному в рейтинг, распределяется размер субсидии, равный размеру, указанному им в заявке, но не выше (ниже) максимального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минимального) размера субсидии, определенного объявлением о проведении отбора получателей субсидий (при установлении максимального (минимального) размера субсидии), в случае если указанный им размер меньше нераспределенного размера субсидии либо равен ему.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если размер субсидии, указанный участником отбора пол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учателей субсидий в заявке, больше нераспределенного размера субсидии, такому участнику отбора получателей субсидий при его согласии распределяется весь оставшийся нераспределенный размер субсидии, но не выше (ниже) максимального (минимального) размера суб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сидии, определенного объявлением о проведении отбора получателей субсидий (при установлении максимального (минимального) размера субсидии), без изменения указанного участником отбора получателей субсидий в заявке значения результата предоставления субсидии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8.Результатом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предоставления субсидии является: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увеличение значения выручки получателя субсидии, рассчитывается исходя из планируемого роста не менее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0,5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% к предшествующему году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оличество сохраненных рабочих мест субъектом малого и среднего предпринимательства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получателем финансовой поддержки (при их наличии на дату предоставления заявления на субсидию)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9.Главный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распорядитель бюджетных средств в  лице  уполномоченного органа: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проводит оценку достижения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значения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результата предоставления субсидии на основании отчета о достижении результата.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3.10.Управление по бюджетному учету администрации города на основании постановления администрации города о предоставлении субсидии, соглашения (договора) о предоставле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нии субсидии производит перечисление денежных средств на расчетные, корреспондентские счета, открытые Получателями субсидий в учреждениях Центрального банка Российской Федерации или кредитных организациях, указанные в заявлении на предоставление субсидий,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не позднее 10-го рабочего дня, следующего за днем принятия постановления  о  предоставлении  субсидии.</w:t>
      </w:r>
      <w:r>
        <w:rPr>
          <w:rFonts w:ascii="Arial" w:hAnsi="Arial" w:eastAsia="Calibri" w:cs="Arial"/>
          <w:sz w:val="24"/>
          <w:szCs w:val="24"/>
          <w:lang w:eastAsia="ru-RU"/>
        </w:rPr>
      </w:r>
      <w:r>
        <w:rPr>
          <w:rFonts w:ascii="Arial" w:hAnsi="Arial" w:eastAsia="Calibri" w:cs="Arial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0" w:name="sub_102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.В текущем году в рамках Программы Субъекты имеют возможность получить финансовую поддержку один раз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.</w:t>
      </w:r>
      <w:bookmarkEnd w:id="1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trike/>
          <w:sz w:val="24"/>
          <w:szCs w:val="24"/>
        </w:rPr>
      </w:pPr>
      <w:r>
        <w:rPr>
          <w:rFonts w:ascii="Times New Roman" w:hAnsi="Times New Roman" w:eastAsia="Calibri" w:cs="Times New Roman"/>
          <w:strike/>
          <w:sz w:val="24"/>
          <w:szCs w:val="24"/>
        </w:rPr>
      </w:r>
      <w:r>
        <w:rPr>
          <w:rFonts w:ascii="Times New Roman" w:hAnsi="Times New Roman" w:eastAsia="Calibri" w:cs="Times New Roman"/>
          <w:strike/>
          <w:sz w:val="24"/>
          <w:szCs w:val="24"/>
        </w:rPr>
      </w:r>
      <w:r>
        <w:rPr>
          <w:rFonts w:ascii="Times New Roman" w:hAnsi="Times New Roman" w:eastAsia="Calibri" w:cs="Times New Roman"/>
          <w:strike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IV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Требования к отчетности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1.Субъект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получивший финансовую поддержку обязан предоставлять в Уполномоченный орган следующие документы: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9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ежеквартальный отчет о реализации плана мероприятий по достижению результатов предоставления субсидии, согласно </w:t>
      </w:r>
      <w:hyperlink r:id="rId16" w:tooltip="garantF1://402937436.1007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  <w:lang w:eastAsia="ru-RU"/>
          </w:rPr>
          <w:t xml:space="preserve">пункту 6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«Порядка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производителям товаров, работ, услуг», утвержденного </w:t>
      </w:r>
      <w:hyperlink r:id="rId17" w:tooltip="garantF1://402937436.0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  <w:lang w:eastAsia="ru-RU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Минфина России от 27.04.2024 №53н по форме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установленной соглашением о предоставлении субсидий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 течение месяца, следующего за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отчетным кварталом, по истечении года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позднее 1 апреля года, следующего за окончанием отчетного года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69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отчет о достижении значений результатов предоставления субсидий по форме, определенной типовой формой соглашения, установленной Департаментом финансов администрации города Мегиона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месяца, следующего за отчетным кварталом,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 истечении года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позднее 1 апреля года, следующего за окончанием отчетного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копии налоговых деклараций по применяемым специальным режимам налогообложения (для применяющих такие режимы) с отметкой налогового органа или квитанцией об отправке почтовой корреспонденции (квитанции об отправке электронной отчетности)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срок не позднее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преля года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следующего за окончанием отчетного года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отчет об исполнении принятых обязательств по осуществлению предпринимательской деятельности по основному виду экономической деятельности по форме, установленной соглашением о предоставлении субсидий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по истечению года со дня получения субсидии;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отчет об исполнении принятых обязательств на приобретение основных средств, по форме установленной соглашением о предоставлении субсидии 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ежегодно в течение двух лет со дня получения субсидии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Уполномоченный орган осуществляет проверку отчетов, указанных в </w:t>
      </w:r>
      <w:hyperlink r:id="rId18" w:tooltip="https://mobileonline.garant.ru/#/document/406890808/entry/1041" w:anchor="/document/406890808/entry/1041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пункте 4.1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настоящего порядка в месячный срок с даты получ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ения данной отчетности и направляет в департамент финансов администрации города для формирования информации о мониторинге достижения результатов предоставления субсидии в порядке и по формам, которые установлены Министерством финансов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/>
      <w:bookmarkStart w:id="11" w:name="sub_1051"/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5.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1.Ответственность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за обоснованность, достоверность и качество представленных документов, а также за соблюдение условий предоставления субсидий, настоящего Порядка и 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оглашения  несет получатель субсидии.</w:t>
      </w:r>
      <w:bookmarkEnd w:id="11"/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5.2.Главный распорядитель бюджетных средств  в лице  уполномоченного  органа проводит проверку на предм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ет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проверка проводится органом государственного  (муниципального) финансового контроля в соответствии со </w:t>
      </w:r>
      <w:hyperlink r:id="rId19" w:tooltip="garantF1://12012604.2681" w:history="1">
        <w:r>
          <w:rPr>
            <w:rFonts w:ascii="Times New Roman" w:hAnsi="Times New Roman" w:eastAsia="Calibri" w:cs="Times New Roman"/>
            <w:sz w:val="24"/>
            <w:szCs w:val="24"/>
            <w:lang w:eastAsia="ru-RU"/>
          </w:rPr>
          <w:t xml:space="preserve">статьями 268.1</w:t>
        </w:r>
      </w:hyperlink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и </w:t>
      </w:r>
      <w:hyperlink r:id="rId20" w:tooltip="garantF1://12012604.2692" w:history="1">
        <w:r>
          <w:rPr>
            <w:rFonts w:ascii="Times New Roman" w:hAnsi="Times New Roman" w:eastAsia="Calibri" w:cs="Times New Roman"/>
            <w:sz w:val="24"/>
            <w:szCs w:val="24"/>
            <w:lang w:eastAsia="ru-RU"/>
          </w:rPr>
          <w:t xml:space="preserve">269.2</w:t>
        </w:r>
      </w:hyperlink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Бюджетного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/>
      <w:bookmarkStart w:id="12" w:name="sub_522"/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Главный распорядитель бюджетных средств в лице уполномоченного органа,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департамент финансов администрации города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проводят мониторинг достижения результатов предоставления субсидии исходя из достижения значений результатов предос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соглашением о предоставлении субсидии.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/>
      <w:bookmarkStart w:id="13" w:name="sub_1053"/>
      <w:r/>
      <w:bookmarkEnd w:id="12"/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5.3.В случае нарушения получателем субсиди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и условий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и порядка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предоставления  субсидий</w:t>
      </w:r>
      <w:r>
        <w:rPr>
          <w:rFonts w:ascii="Times New Roman" w:hAnsi="Times New Roman" w:eastAsia="Calibri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выявленных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, в том числе по фактам проверок, проведен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ных главным распорядителем бюджетных средств в  лице  уполномоченного органа  и органом государственного  (муниципального) финансового контроля, указанных настоящим Порядком, субсидия подлежит возврату в местный бюджет в соответствии с настоящим Порядком.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0" w:leader="none"/>
          <w:tab w:val="left" w:pos="709" w:leader="none"/>
          <w:tab w:val="left" w:pos="1134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недостижения значений результатов предоставления субсидии осуществляется возврат части субсидии, размер которой определяется пропорционально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установленным показателям достижения результата предоставления субсидии и рассчитывается по формуле: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0" w:leader="none"/>
          <w:tab w:val="left" w:pos="709" w:leader="none"/>
          <w:tab w:val="left" w:pos="1134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0" w:leader="none"/>
          <w:tab w:val="left" w:pos="709" w:leader="none"/>
          <w:tab w:val="left" w:pos="1134" w:leader="none"/>
          <w:tab w:val="left" w:pos="184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/>
      <m:oMathPara>
        <m:oMathParaPr/>
        <m:oMath>
          <m:r>
            <w:rPr>
              <w:rFonts w:ascii="Times New Roman" w:hAnsi="Times New Roman" w:eastAsia="Times New Roman" w:cs="Times New Roman"/>
              <w:sz w:val="24"/>
              <w:szCs w:val="24"/>
              <w:lang w:eastAsia="ru-RU"/>
            </w:rPr>
            <m:rPr>
              <m:nor m:val="on"/>
            </m:rPr>
            <m:t>Vсуб.возв</m:t>
          </m:r>
          <m:r>
            <w:rPr>
              <w:rFonts w:ascii="Times New Roman" w:hAnsi="Times New Roman" w:eastAsia="Times New Roman" w:cs="Times New Roman"/>
              <w:sz w:val="24"/>
              <w:szCs w:val="24"/>
              <w:lang w:eastAsia="ru-RU"/>
            </w:rPr>
            <m:rPr>
              <m:nor m:val="on"/>
            </m:rPr>
            <m:t>.=</m:t>
          </m:r>
          <m:r>
            <w:rPr>
              <w:rFonts w:ascii="Times New Roman" w:hAnsi="Times New Roman" w:eastAsia="Times New Roman" w:cs="Times New Roman"/>
              <w:sz w:val="24"/>
              <w:szCs w:val="24"/>
              <w:lang w:val="en-US" w:eastAsia="ru-RU"/>
            </w:rPr>
            <m:rPr>
              <m:nor m:val="on"/>
            </m:rPr>
            <m:t>V</m:t>
          </m:r>
          <m:r>
            <w:rPr>
              <w:rFonts w:ascii="Times New Roman" w:hAnsi="Times New Roman" w:eastAsia="Times New Roman" w:cs="Times New Roman"/>
              <w:sz w:val="24"/>
              <w:szCs w:val="24"/>
              <w:lang w:eastAsia="ru-RU"/>
            </w:rPr>
            <m:rPr>
              <m:nor m:val="on"/>
            </m:rPr>
            <m:t>факт</m:t>
          </m:r>
          <m:r>
            <w:rPr>
              <w:rFonts w:ascii="Cambria Math" w:hAnsi="Times New Roman" w:eastAsia="Times New Roman" w:cs="Times New Roman"/>
              <w:sz w:val="24"/>
              <w:szCs w:val="24"/>
              <w:lang w:eastAsia="ru-RU"/>
            </w:rPr>
            <m:rPr>
              <m:nor m:val="on"/>
            </m:rPr>
            <m:t> </m:t>
          </m:r>
          <m:r>
            <w:rPr>
              <w:rFonts w:ascii="Times New Roman" w:hAnsi="Times New Roman" w:eastAsia="Times New Roman" w:cs="Times New Roman"/>
              <w:sz w:val="24"/>
              <w:szCs w:val="24"/>
              <w:lang w:eastAsia="ru-RU"/>
            </w:rPr>
            <m:rPr>
              <m:nor m:val="on"/>
            </m:rPr>
            <m:t>- </m:t>
          </m:r>
          <m:f>
            <m:fPr>
              <m:ctrlPr>
                <w:rPr>
                  <w:rFonts w:ascii="Cambria Math" w:hAnsi="Cambria Math" w:eastAsia="Times New Roman" w:cs="Times New Roman"/>
                  <w:i/>
                  <w:sz w:val="24"/>
                  <w:szCs w:val="24"/>
                  <w:lang w:val="en-US" w:eastAsia="ru-RU"/>
                </w:rPr>
              </m:ctrlPr>
            </m:fPr>
            <m:num>
              <m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eastAsia="ru-RU"/>
                </w:rPr>
                <m:rPr>
                  <m:nor m:val="on"/>
                </m:rPr>
                <m:t>V</m:t>
              </m:r>
              <m:r>
                <w:rPr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m:rPr>
                  <m:nor m:val="on"/>
                </m:rPr>
                <m:t>факт × </m:t>
              </m:r>
              <m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eastAsia="ru-RU"/>
                </w:rPr>
                <m:rPr>
                  <m:nor m:val="on"/>
                </m:rPr>
                <m:t>P</m:t>
              </m:r>
              <m:r>
                <w:rPr>
                  <w:rFonts w:ascii="Cambria Math" w:hAnsi="Times New Roman" w:eastAsia="Times New Roman" w:cs="Times New Roman"/>
                  <w:sz w:val="24"/>
                  <w:szCs w:val="24"/>
                  <w:lang w:eastAsia="ru-RU"/>
                </w:rPr>
                <m:rPr>
                  <m:nor m:val="on"/>
                </m:rPr>
                <m:t>факт</m:t>
              </m:r>
            </m:num>
            <m:den>
              <m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eastAsia="ru-RU"/>
                </w:rPr>
                <m:rPr>
                  <m:nor m:val="on"/>
                </m:rPr>
                <m:t>P</m:t>
              </m:r>
              <m:r>
                <w:rPr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m:rPr>
                  <m:nor m:val="on"/>
                </m:rPr>
                <m:t>план</m:t>
              </m:r>
            </m:den>
          </m:f>
          <m:r>
            <w:rPr>
              <w:rFonts w:ascii="Cambria Math" w:hAnsi="Cambria Math" w:eastAsia="Times New Roman" w:cs="Times New Roman"/>
              <w:sz w:val="24"/>
              <w:szCs w:val="24"/>
              <w:lang w:eastAsia="ru-RU"/>
            </w:rPr>
            <m:rPr/>
            <m:t>, где:</m:t>
          </m:r>
        </m:oMath>
      </m:oMathPara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0" w:leader="none"/>
          <w:tab w:val="left" w:pos="709" w:leader="none"/>
          <w:tab w:val="left" w:pos="1134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0" w:leader="none"/>
          <w:tab w:val="left" w:pos="709" w:leader="none"/>
          <w:tab w:val="left" w:pos="1134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суб.возв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– размер возврата субсидии по конкретному показателю результативности;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0" w:leader="none"/>
          <w:tab w:val="left" w:pos="709" w:leader="none"/>
          <w:tab w:val="left" w:pos="1134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факт – размер фактически полученной субсидии;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0" w:leader="none"/>
          <w:tab w:val="left" w:pos="709" w:leader="none"/>
          <w:tab w:val="left" w:pos="1134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Рплан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значение планового показателя результативности;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0" w:leader="none"/>
          <w:tab w:val="left" w:pos="709" w:leader="none"/>
          <w:tab w:val="left" w:pos="1134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Рфакт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значение фактического показателя результативности.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0" w:leader="none"/>
          <w:tab w:val="left" w:pos="709" w:leader="none"/>
          <w:tab w:val="left" w:pos="1134" w:leader="none"/>
          <w:tab w:val="left" w:pos="184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4" w:name="sub_1056"/>
      <w:r/>
      <w:bookmarkEnd w:id="1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5.4.Уполномоченный орган в течение 5 рабочих дней, со дня выявления фактов, предусмотренных </w:t>
      </w:r>
      <w:hyperlink r:id="rId21" w:tooltip="file:///C:\tubbe\AppData\Local\ShatileniaVV\ShafigullinaMV\AppData\Local\Microsoft\Windows\Temporary%20Internet%20Files\AppData\Kapcovda\AppData\Local\Temp\Arm_Municipal\2.4.0.1\Documents\5848-0.doc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пунктом 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 настоящего раздела, направляет Получателю письменное требование (далее – требование) о необходимости возврата в течени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рабочих дней со дня получения требования выплаченных сумм Субсидий в бюджет города Мегиона путем перечисления на расчетный счет, указанный Уполномоченным органом.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невозврате Субсидий в указанный в требовании срок Уполномоченный орган обращается в суд в соответствии с законодательством Российской Федерации за взысканием суммы выплаченной Субсидии.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5.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6.Требование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о возврате субсидии содержит: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/>
      <w:bookmarkStart w:id="15" w:name="sub_1320"/>
      <w:r/>
      <w:bookmarkEnd w:id="14"/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1) наименование получателя субсидии;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/>
      <w:bookmarkStart w:id="16" w:name="sub_1321"/>
      <w:r/>
      <w:bookmarkEnd w:id="15"/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2) реквизиты документа, составленного по результатам проверки;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/>
      <w:bookmarkStart w:id="17" w:name="sub_1322"/>
      <w:r/>
      <w:bookmarkEnd w:id="16"/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3) сведения о выявленных фактах нарушения условий предоставления субсидии, предусмотренных соглашением о предоставлении субсидии и Порядком;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/>
      <w:bookmarkStart w:id="18" w:name="sub_1323"/>
      <w:r/>
      <w:bookmarkEnd w:id="17"/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4) требование о возврате субсидии в бюджет города;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/>
      <w:bookmarkStart w:id="19" w:name="sub_1324"/>
      <w:r/>
      <w:bookmarkEnd w:id="18"/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5) сведения о лицевом счете администрации города, на который получатель субсидии возвращает субсидию.</w:t>
      </w:r>
      <w:bookmarkEnd w:id="1"/>
      <w:r/>
      <w:bookmarkEnd w:id="19"/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t xml:space="preserve">              </w:t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left"/>
        <w:spacing w:after="0" w:line="240" w:lineRule="auto"/>
        <w:rPr>
          <w:rFonts w:ascii="PT Astra Serif" w:hAnsi="PT Astra Serif" w:eastAsia="Times New Roman" w:cs="Arial"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sz w:val="24"/>
          <w:szCs w:val="24"/>
          <w:lang w:eastAsia="ru-RU"/>
        </w:rPr>
      </w:r>
    </w:p>
    <w:p>
      <w:pPr>
        <w:jc w:val="left"/>
        <w:spacing w:after="0" w:line="240" w:lineRule="auto"/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</w:r>
    </w:p>
    <w:p>
      <w:pPr>
        <w:jc w:val="left"/>
        <w:spacing w:after="0" w:line="240" w:lineRule="auto"/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</w:r>
    </w:p>
    <w:p>
      <w:pPr>
        <w:jc w:val="left"/>
        <w:spacing w:after="0" w:line="240" w:lineRule="auto"/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</w:r>
    </w:p>
    <w:p>
      <w:pPr>
        <w:jc w:val="left"/>
        <w:spacing w:after="0" w:line="240" w:lineRule="auto"/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</w:r>
    </w:p>
    <w:p>
      <w:pPr>
        <w:jc w:val="left"/>
        <w:spacing w:after="0" w:line="240" w:lineRule="auto"/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</w:r>
    </w:p>
    <w:p>
      <w:pPr>
        <w:jc w:val="left"/>
        <w:spacing w:after="0" w:line="240" w:lineRule="auto"/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</w:r>
    </w:p>
    <w:p>
      <w:pPr>
        <w:jc w:val="left"/>
        <w:spacing w:after="0" w:line="240" w:lineRule="auto"/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</w:r>
    </w:p>
    <w:p>
      <w:pPr>
        <w:jc w:val="left"/>
        <w:spacing w:after="0" w:line="240" w:lineRule="auto"/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</w:r>
    </w:p>
    <w:p>
      <w:pPr>
        <w:jc w:val="left"/>
        <w:spacing w:after="0" w:line="240" w:lineRule="auto"/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</w:r>
    </w:p>
    <w:p>
      <w:pPr>
        <w:jc w:val="left"/>
        <w:spacing w:after="0" w:line="240" w:lineRule="auto"/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sz w:val="24"/>
          <w:szCs w:val="24"/>
          <w:highlight w:val="none"/>
          <w:lang w:eastAsia="ru-RU"/>
        </w:rPr>
      </w:r>
    </w:p>
    <w:p>
      <w:pPr>
        <w:jc w:val="left"/>
        <w:spacing w:after="0" w:line="240" w:lineRule="auto"/>
        <w:rPr>
          <w:rFonts w:ascii="PT Astra Serif" w:hAnsi="PT Astra Serif" w:eastAsia="Times New Roman" w:cs="Arial"/>
          <w:iCs/>
          <w:sz w:val="24"/>
          <w:szCs w:val="24"/>
          <w:highlight w:val="none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t xml:space="preserve">                               </w:t>
      </w:r>
      <w:r>
        <w:rPr>
          <w:rFonts w:ascii="PT Astra Serif" w:hAnsi="PT Astra Serif" w:eastAsia="Times New Roman" w:cs="Arial"/>
          <w:iCs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 w:cs="Arial"/>
          <w:iCs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t xml:space="preserve">  </w:t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t xml:space="preserve">Приложение 1 к Порядку</w:t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t xml:space="preserve">                                                                                предоставления субсидий субъектам</w:t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t xml:space="preserve">                                                                                       малого и среднего предпринимательства</w:t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t xml:space="preserve">Перечень социально-значимых видов деятельности, </w:t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t xml:space="preserve">определенных администрацией города Мегиона</w:t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08"/>
        <w:gridCol w:w="2733"/>
        <w:gridCol w:w="5587"/>
      </w:tblGrid>
      <w:tr>
        <w:tblPrEx/>
        <w:trPr>
          <w:tblHeader/>
        </w:trPr>
        <w:tc>
          <w:tcPr>
            <w:shd w:val="clear" w:color="auto" w:fill="auto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Calibri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7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Calibri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Наименование раздела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55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Calibri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Код ОКВЭД Расшифровка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7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Сельское, лесное хозяйство, охота, рыболовство и рыбоводство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01.Растениеводство и животноводство, охота и предоставление соответствующих услуг в этих областях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02.Лесоводство и 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лесозаготовки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03.Рыболовство и рыбоводство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30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73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Обрабатывающ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е производств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10. Производство пищевых продуктов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11.07.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Производство безалкогольных напитков; производство упакованных питьевых вод, включая минеральные воды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13.Производство текстильных изделий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14.Производство одежды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16.Обработка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62"/>
        </w:trPr>
        <w:tc>
          <w:tcPr>
            <w:shd w:val="clear" w:color="auto" w:fill="auto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22.Производство резиновых и пластмассовых изделий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23.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70.Резка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, обработка и отделка камня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25.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Производство готовых металлических изделий, кроме машин и оборудования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31.Производство мебели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32.Производство прочих готовых изделий (за исключением чеканки монет, производства спичек и зажигалок)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7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Водоснабжение, водоотведение, организация сбора и утилизации отходов, деятельность по ликвидации загрязнений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38.Сбор, обработка и утилизация отходов, обработка вторичного сырья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G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7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Торговля оптовая и розничная; ремонт автотранспортных средств и мотоциклов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 45.2.Техническое обслуживание и ремонт автотранспортных средств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4"/>
        </w:trPr>
        <w:tc>
          <w:tcPr>
            <w:shd w:val="clear" w:color="auto" w:fill="auto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I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7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Деятельность гостиниц и предприятий общественного питания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55.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10.Деятельность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 гостиниц и прочих мест для временного проживания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56.Деятельность по предоставлению продуктов питания и напитков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4"/>
        </w:trPr>
        <w:tc>
          <w:tcPr>
            <w:shd w:val="clear" w:color="auto" w:fill="auto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J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7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еятельность в области информации и связи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62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.Р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азработка компьютерного программного обеспечения, консультационные услуги в данной области и другие сопутствующие услуги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63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Деятельность в области информационных технологий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28"/>
        </w:trPr>
        <w:tc>
          <w:tcPr>
            <w:shd w:val="clear" w:color="auto" w:fill="auto"/>
            <w:tcBorders>
              <w:bottom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Деятельность профессиональная, научная и техническая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74.2 Деятельность в области фотографии 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75.0 Деятельность ветеринарная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08"/>
        </w:trPr>
        <w:tc>
          <w:tcPr>
            <w:shd w:val="clear" w:color="auto" w:fill="auto"/>
            <w:tcBorders>
              <w:bottom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N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27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Деятельность административная и сопутствующие дополнительные услуги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77.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2.Прокат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 и аренда прочих предметов личного пользования и хозяйственно-бытового назначения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79.Деятельность туристических агентств и прочих организаций, предоставляющих услуги в сфере туризма 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shd w:val="clear" w:color="auto" w:fill="auto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7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85.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41.Образование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 дополнительное детей и взрослых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85.41.2.Образование в области культуры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38"/>
        </w:trPr>
        <w:tc>
          <w:tcPr>
            <w:shd w:val="clear" w:color="auto" w:fill="auto"/>
            <w:tcW w:w="130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Q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73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Деятельность в области здравоохранения и социальных услуг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86.Деятельность в области здравоохранения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87.Деятельность по уходу с обеспечением проживания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73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88.Предоставление социальных услуг без обеспечения проживания 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30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R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73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Деятельность в области культуры, спорта, организации досуга и развлечений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90.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Деятельность творческая, деятельность в области искусства и организации развлечений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3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73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91.Деятельность библиотек, архивов, музеев и прочих объектов культуры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3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73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93.Деятельность в области спорта, отдыха и развлечений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14"/>
        </w:trPr>
        <w:tc>
          <w:tcPr>
            <w:shd w:val="clear" w:color="auto" w:fill="auto"/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S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7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Предоставление прочих видов услуг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55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95.Ремонт компьютеров, предметов личного потребления и хозяйственно-бытового назначения 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  <w:t xml:space="preserve">96.Деятельность по предоставлению прочих персональных услуг</w:t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  <w:outlineLvl w:val="1"/>
      </w:pP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  <w:r>
        <w:rPr>
          <w:rFonts w:ascii="PT Astra Serif" w:hAnsi="PT Astra Serif" w:eastAsia="Times New Roman" w:cs="Arial"/>
          <w:bCs/>
          <w:iCs/>
          <w:sz w:val="24"/>
          <w:szCs w:val="24"/>
          <w:lang w:eastAsia="ru-RU"/>
        </w:rPr>
      </w:r>
    </w:p>
    <w:tbl>
      <w:tblPr>
        <w:tblW w:w="10207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6804"/>
      </w:tblGrid>
      <w:tr>
        <w:tblPrEx/>
        <w:trPr>
          <w:trHeight w:val="211"/>
        </w:trPr>
        <w:tc>
          <w:tcPr>
            <w:tcW w:w="85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PT Astra Serif" w:hAnsi="PT Astra Serif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PT Astra Serif" w:hAnsi="PT Astra Serif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PT Astra Serif" w:hAnsi="PT Astra Serif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Calibri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firstLine="567"/>
        <w:jc w:val="center"/>
        <w:spacing w:after="0" w:line="240" w:lineRule="auto"/>
        <w:widowControl w:val="off"/>
        <w:tabs>
          <w:tab w:val="left" w:pos="10206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PT Astra Serif" w:hAnsi="PT Astra Serif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147"/>
        <w:jc w:val="center"/>
        <w:spacing w:before="43" w:after="0" w:line="251" w:lineRule="exact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                                                            Приложение</w:t>
      </w:r>
      <w:r>
        <w:rPr>
          <w:rFonts w:ascii="Times New Roman" w:hAnsi="Times New Roman" w:eastAsia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0"/>
          <w:sz w:val="24"/>
          <w:szCs w:val="24"/>
        </w:rPr>
        <w:t xml:space="preserve">5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Порядку</w:t>
      </w:r>
      <w:r>
        <w:rPr>
          <w:rFonts w:ascii="Times New Roman" w:hAnsi="Times New Roman" w:eastAsia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right="147"/>
        <w:jc w:val="center"/>
        <w:spacing w:before="43" w:after="0" w:line="251" w:lineRule="exact"/>
        <w:widowControl w:val="off"/>
        <w:rPr>
          <w:rFonts w:ascii="Times New Roman" w:hAnsi="Times New Roman" w:eastAsia="Times New Roman"/>
          <w:spacing w:val="-11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                                                                                предоставления</w:t>
      </w:r>
      <w:r>
        <w:rPr>
          <w:rFonts w:ascii="Times New Roman" w:hAnsi="Times New Roman" w:eastAsia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субсидий </w:t>
      </w:r>
      <w:r>
        <w:rPr>
          <w:rFonts w:ascii="Times New Roman" w:hAnsi="Times New Roman" w:eastAsia="Times New Roman"/>
          <w:sz w:val="24"/>
          <w:szCs w:val="24"/>
        </w:rPr>
        <w:t xml:space="preserve">субъектам</w:t>
      </w:r>
      <w:r>
        <w:rPr>
          <w:rFonts w:ascii="Times New Roman" w:hAnsi="Times New Roman" w:eastAsia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1"/>
          <w:sz w:val="24"/>
          <w:szCs w:val="24"/>
        </w:rPr>
      </w:r>
      <w:r>
        <w:rPr>
          <w:rFonts w:ascii="Times New Roman" w:hAnsi="Times New Roman" w:eastAsia="Times New Roman"/>
          <w:spacing w:val="-11"/>
          <w:sz w:val="24"/>
          <w:szCs w:val="24"/>
        </w:rPr>
      </w:r>
    </w:p>
    <w:p>
      <w:pPr>
        <w:ind w:right="147"/>
        <w:jc w:val="center"/>
        <w:spacing w:before="43" w:after="0" w:line="251" w:lineRule="exact"/>
        <w:widowControl w:val="off"/>
        <w:tabs>
          <w:tab w:val="left" w:pos="6236" w:leader="none"/>
        </w:tabs>
        <w:rPr>
          <w:rFonts w:ascii="Times New Roman" w:hAnsi="Times New Roman" w:eastAsia="Times New Roman"/>
          <w:spacing w:val="-14"/>
          <w:sz w:val="24"/>
          <w:szCs w:val="24"/>
        </w:rPr>
      </w:pPr>
      <w:r>
        <w:rPr>
          <w:rFonts w:ascii="Times New Roman" w:hAnsi="Times New Roman" w:eastAsia="Times New Roman"/>
          <w:spacing w:val="-11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eastAsia="Times New Roman"/>
          <w:sz w:val="24"/>
          <w:szCs w:val="24"/>
        </w:rPr>
        <w:t xml:space="preserve">малого и среднего предпринимательства </w:t>
      </w:r>
      <w:r>
        <w:rPr>
          <w:rFonts w:ascii="Times New Roman" w:hAnsi="Times New Roman" w:eastAsia="Times New Roman"/>
          <w:spacing w:val="-14"/>
          <w:sz w:val="24"/>
          <w:szCs w:val="24"/>
        </w:rPr>
      </w:r>
      <w:r>
        <w:rPr>
          <w:rFonts w:ascii="Times New Roman" w:hAnsi="Times New Roman" w:eastAsia="Times New Roman"/>
          <w:spacing w:val="-14"/>
          <w:sz w:val="24"/>
          <w:szCs w:val="24"/>
        </w:rPr>
      </w:r>
    </w:p>
    <w:p>
      <w:pPr>
        <w:spacing w:before="101"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142"/>
        <w:jc w:val="center"/>
        <w:spacing w:before="1"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26282d"/>
          <w:sz w:val="24"/>
          <w:szCs w:val="24"/>
        </w:rPr>
        <w:t xml:space="preserve">Акт</w:t>
      </w:r>
      <w:r>
        <w:rPr>
          <w:rFonts w:ascii="Times New Roman" w:hAnsi="Times New Roman" w:eastAsia="Times New Roman"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26282d"/>
          <w:spacing w:val="-2"/>
          <w:sz w:val="24"/>
          <w:szCs w:val="24"/>
        </w:rPr>
        <w:t xml:space="preserve">осмотра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142"/>
        <w:jc w:val="center"/>
        <w:spacing w:after="0" w:line="240" w:lineRule="auto"/>
        <w:widowControl w:val="off"/>
        <w:rPr>
          <w:rFonts w:ascii="Times New Roman" w:hAnsi="Times New Roman" w:eastAsia="Times New Roman"/>
          <w:color w:val="26282d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26282d"/>
          <w:sz w:val="24"/>
          <w:szCs w:val="24"/>
        </w:rPr>
        <w:t xml:space="preserve">места</w:t>
      </w:r>
      <w:r>
        <w:rPr>
          <w:rFonts w:ascii="Times New Roman" w:hAnsi="Times New Roman" w:eastAsia="Times New Roman"/>
          <w:color w:val="26282d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26282d"/>
          <w:sz w:val="24"/>
          <w:szCs w:val="24"/>
        </w:rPr>
        <w:t xml:space="preserve">осуществления</w:t>
      </w:r>
      <w:r>
        <w:rPr>
          <w:rFonts w:ascii="Times New Roman" w:hAnsi="Times New Roman" w:eastAsia="Times New Roman"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26282d"/>
          <w:sz w:val="24"/>
          <w:szCs w:val="24"/>
        </w:rPr>
        <w:t xml:space="preserve">предпринимательской</w:t>
      </w:r>
      <w:r>
        <w:rPr>
          <w:rFonts w:ascii="Times New Roman" w:hAnsi="Times New Roman" w:eastAsia="Times New Roman"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26282d"/>
          <w:spacing w:val="-2"/>
          <w:sz w:val="24"/>
          <w:szCs w:val="24"/>
        </w:rPr>
        <w:t xml:space="preserve">деятельности</w:t>
      </w:r>
      <w:r>
        <w:rPr>
          <w:rFonts w:ascii="Times New Roman" w:hAnsi="Times New Roman" w:eastAsia="Times New Roman"/>
          <w:color w:val="26282d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26282d"/>
          <w:spacing w:val="-2"/>
          <w:sz w:val="24"/>
          <w:szCs w:val="24"/>
          <w:highlight w:val="none"/>
        </w:rPr>
      </w:r>
    </w:p>
    <w:p>
      <w:pPr>
        <w:ind w:right="142"/>
        <w:jc w:val="center"/>
        <w:spacing w:after="0" w:line="240" w:lineRule="auto"/>
        <w:widowControl w:val="off"/>
        <w:rPr>
          <w:rFonts w:ascii="Times New Roman" w:hAnsi="Times New Roman" w:eastAsia="Times New Roman"/>
          <w:color w:val="26282d"/>
          <w:spacing w:val="-2"/>
          <w:sz w:val="24"/>
          <w:szCs w:val="24"/>
        </w:rPr>
      </w:pPr>
      <w:r>
        <w:rPr>
          <w:rFonts w:ascii="Times New Roman" w:hAnsi="Times New Roman" w:eastAsia="Times New Roman"/>
          <w:color w:val="26282d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26282d"/>
          <w:spacing w:val="-2"/>
          <w:sz w:val="24"/>
          <w:szCs w:val="24"/>
        </w:rPr>
      </w:r>
      <w:r>
        <w:rPr>
          <w:rFonts w:ascii="Times New Roman" w:hAnsi="Times New Roman" w:eastAsia="Times New Roman"/>
          <w:color w:val="26282d"/>
          <w:spacing w:val="-2"/>
          <w:sz w:val="24"/>
          <w:szCs w:val="24"/>
        </w:rPr>
      </w:r>
    </w:p>
    <w:p>
      <w:pPr>
        <w:spacing w:before="61" w:after="0" w:line="240" w:lineRule="auto"/>
        <w:widowControl w:val="off"/>
        <w:rPr>
          <w:rFonts w:ascii="Times New Roman" w:hAnsi="Times New Roman" w:eastAsia="Times New Roman"/>
          <w:spacing w:val="-2"/>
          <w:sz w:val="28"/>
          <w:szCs w:val="28"/>
        </w:rPr>
      </w:pPr>
      <w:r>
        <w:rPr>
          <w:rFonts w:ascii="Times New Roman" w:hAnsi="Times New Roman" w:eastAsia="Times New Roman"/>
          <w:spacing w:val="-2"/>
          <w:sz w:val="24"/>
          <w:szCs w:val="24"/>
        </w:rPr>
        <w:t xml:space="preserve">________________________________________________</w:t>
      </w:r>
      <w:r>
        <w:rPr>
          <w:rFonts w:ascii="Times New Roman" w:hAnsi="Times New Roman" w:eastAsia="Times New Roman"/>
          <w:spacing w:val="-2"/>
          <w:sz w:val="24"/>
          <w:szCs w:val="24"/>
        </w:rPr>
        <w:t xml:space="preserve">________________________________</w:t>
      </w:r>
      <w:r>
        <w:rPr>
          <w:rFonts w:ascii="Times New Roman" w:hAnsi="Times New Roman" w:eastAsia="Times New Roman"/>
          <w:spacing w:val="-2"/>
          <w:sz w:val="28"/>
          <w:szCs w:val="28"/>
        </w:rPr>
      </w:r>
      <w:r>
        <w:rPr>
          <w:rFonts w:ascii="Times New Roman" w:hAnsi="Times New Roman" w:eastAsia="Times New Roman"/>
          <w:spacing w:val="-2"/>
          <w:sz w:val="28"/>
          <w:szCs w:val="28"/>
        </w:rPr>
      </w:r>
    </w:p>
    <w:p>
      <w:pPr>
        <w:jc w:val="center"/>
        <w:spacing w:before="61" w:after="0" w:line="240" w:lineRule="auto"/>
        <w:widowControl w:val="off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pacing w:val="-2"/>
          <w:sz w:val="20"/>
          <w:szCs w:val="20"/>
        </w:rPr>
        <w:t xml:space="preserve">(наименование/</w:t>
      </w:r>
      <w:r>
        <w:rPr>
          <w:rFonts w:ascii="Times New Roman" w:hAnsi="Times New Roman" w:eastAsia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2"/>
          <w:sz w:val="20"/>
          <w:szCs w:val="20"/>
        </w:rPr>
        <w:t xml:space="preserve">фамилия,</w:t>
      </w:r>
      <w:r>
        <w:rPr>
          <w:rFonts w:ascii="Times New Roman" w:hAnsi="Times New Roman" w:eastAsia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2"/>
          <w:sz w:val="20"/>
          <w:szCs w:val="20"/>
        </w:rPr>
        <w:t xml:space="preserve">инициалы</w:t>
      </w:r>
      <w:r>
        <w:rPr>
          <w:rFonts w:ascii="Times New Roman" w:hAnsi="Times New Roman" w:eastAsia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2"/>
          <w:sz w:val="20"/>
          <w:szCs w:val="20"/>
        </w:rPr>
        <w:t xml:space="preserve">субъекта</w:t>
      </w:r>
      <w:r>
        <w:rPr>
          <w:rFonts w:ascii="Times New Roman" w:hAnsi="Times New Roman" w:eastAsia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2"/>
          <w:sz w:val="20"/>
          <w:szCs w:val="20"/>
        </w:rPr>
        <w:t xml:space="preserve">предпринимательской</w:t>
      </w:r>
      <w:r>
        <w:rPr>
          <w:rFonts w:ascii="Times New Roman" w:hAnsi="Times New Roman" w:eastAsia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2"/>
          <w:sz w:val="20"/>
          <w:szCs w:val="20"/>
        </w:rPr>
        <w:t xml:space="preserve">деятельности)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widowControl w:val="off"/>
        <w:tabs>
          <w:tab w:val="left" w:pos="2249" w:leader="none"/>
          <w:tab w:val="left" w:pos="2964" w:leader="none"/>
        </w:tabs>
        <w:rPr>
          <w:rFonts w:ascii="Times New Roman" w:hAnsi="Times New Roman" w:eastAsia="Times New Roman"/>
          <w:spacing w:val="-5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spacing w:val="-5"/>
          <w:sz w:val="28"/>
          <w:szCs w:val="28"/>
        </w:rPr>
        <w:t xml:space="preserve">___________</w:t>
      </w:r>
      <w:r>
        <w:rPr>
          <w:rFonts w:ascii="Times New Roman" w:hAnsi="Times New Roman" w:eastAsia="Times New Roman"/>
          <w:spacing w:val="-5"/>
          <w:sz w:val="28"/>
          <w:szCs w:val="28"/>
        </w:rPr>
      </w:r>
      <w:r>
        <w:rPr>
          <w:rFonts w:ascii="Times New Roman" w:hAnsi="Times New Roman" w:eastAsia="Times New Roman"/>
          <w:spacing w:val="-5"/>
          <w:sz w:val="28"/>
          <w:szCs w:val="28"/>
        </w:rPr>
      </w:r>
    </w:p>
    <w:p>
      <w:pPr>
        <w:pStyle w:val="879"/>
        <w:rPr>
          <w:rFonts w:ascii="Times New Roman" w:hAnsi="Times New Roman" w:eastAsia="Times New Roman"/>
          <w:spacing w:val="-2"/>
          <w:sz w:val="28"/>
          <w:szCs w:val="28"/>
        </w:rPr>
      </w:pPr>
      <w:r>
        <w:rPr>
          <w:rFonts w:ascii="Times New Roman" w:hAnsi="Times New Roman" w:eastAsia="Times New Roman"/>
          <w:spacing w:val="-2"/>
          <w:sz w:val="28"/>
          <w:szCs w:val="28"/>
        </w:rPr>
        <w:t xml:space="preserve">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/>
          <w:spacing w:val="-2"/>
          <w:sz w:val="28"/>
          <w:szCs w:val="28"/>
        </w:rPr>
      </w:r>
      <w:r>
        <w:rPr>
          <w:rFonts w:ascii="Times New Roman" w:hAnsi="Times New Roman" w:eastAsia="Times New Roman"/>
          <w:spacing w:val="-2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eastAsia="Times New Roman"/>
          <w:spacing w:val="-2"/>
          <w:sz w:val="28"/>
          <w:szCs w:val="28"/>
        </w:rPr>
      </w:pPr>
      <w:r>
        <w:rPr>
          <w:rFonts w:ascii="Times New Roman" w:hAnsi="Times New Roman" w:eastAsia="Times New Roman"/>
          <w:spacing w:val="-2"/>
          <w:sz w:val="20"/>
          <w:szCs w:val="20"/>
        </w:rPr>
        <w:t xml:space="preserve">(ФИО, должности лиц, проводящих осмотр места осуществления предпринимательской деятельности)</w:t>
      </w:r>
      <w:r>
        <w:rPr>
          <w:rFonts w:ascii="Times New Roman" w:hAnsi="Times New Roman" w:eastAsia="Times New Roman"/>
          <w:spacing w:val="-2"/>
          <w:sz w:val="28"/>
          <w:szCs w:val="28"/>
        </w:rPr>
      </w:r>
      <w:r>
        <w:rPr>
          <w:rFonts w:ascii="Times New Roman" w:hAnsi="Times New Roman" w:eastAsia="Times New Roman"/>
          <w:spacing w:val="-2"/>
          <w:sz w:val="28"/>
          <w:szCs w:val="28"/>
        </w:rPr>
      </w:r>
    </w:p>
    <w:p>
      <w:pPr>
        <w:spacing w:before="26" w:after="0" w:line="251" w:lineRule="exact"/>
        <w:widowControl w:val="off"/>
        <w:tabs>
          <w:tab w:val="left" w:pos="8208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widowControl w:val="off"/>
        <w:tabs>
          <w:tab w:val="left" w:pos="8208" w:leader="none"/>
        </w:tabs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Провели осмотр: _________________________________________________________________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360" w:lineRule="auto"/>
        <w:widowControl w:val="off"/>
        <w:tabs>
          <w:tab w:val="left" w:pos="8208" w:leader="none"/>
        </w:tabs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pacing w:after="0" w:line="360" w:lineRule="auto"/>
        <w:widowControl w:val="off"/>
        <w:tabs>
          <w:tab w:val="left" w:pos="8208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after="0" w:line="360" w:lineRule="auto"/>
        <w:widowControl w:val="off"/>
        <w:tabs>
          <w:tab w:val="left" w:pos="8208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Результат осмотра: </w:t>
      </w:r>
      <w:r>
        <w:rPr>
          <w:rFonts w:ascii="Times New Roman" w:hAnsi="Times New Roman" w:eastAsia="Times New Roman"/>
          <w:sz w:val="28"/>
          <w:szCs w:val="28"/>
        </w:rPr>
        <w:t xml:space="preserve">______________________________________________________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widowControl w:val="off"/>
        <w:tabs>
          <w:tab w:val="left" w:pos="8208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widowControl w:val="off"/>
        <w:tabs>
          <w:tab w:val="left" w:pos="8208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Установлено: </w:t>
      </w:r>
      <w:r>
        <w:rPr>
          <w:rFonts w:ascii="Times New Roman" w:hAnsi="Times New Roman" w:eastAsia="Times New Roman"/>
          <w:sz w:val="28"/>
          <w:szCs w:val="28"/>
        </w:rPr>
        <w:t xml:space="preserve">__________________________________________________________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widowControl w:val="off"/>
        <w:tabs>
          <w:tab w:val="left" w:pos="8208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widowControl w:val="off"/>
        <w:tabs>
          <w:tab w:val="left" w:pos="8208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widowControl w:val="off"/>
        <w:rPr>
          <w:rFonts w:ascii="Times New Roman" w:hAnsi="Times New Roman" w:eastAsia="Times New Roman"/>
          <w:spacing w:val="-4"/>
          <w:sz w:val="20"/>
          <w:szCs w:val="20"/>
        </w:rPr>
      </w:pPr>
      <w:r>
        <w:rPr>
          <w:rFonts w:ascii="Times New Roman" w:hAnsi="Times New Roman" w:eastAsia="Times New Roman"/>
          <w:spacing w:val="-4"/>
          <w:sz w:val="20"/>
          <w:szCs w:val="20"/>
        </w:rPr>
        <w:t xml:space="preserve">______________________                             ______________________                           _____________________________</w:t>
      </w:r>
      <w:r>
        <w:rPr>
          <w:rFonts w:ascii="Times New Roman" w:hAnsi="Times New Roman" w:eastAsia="Times New Roman"/>
          <w:spacing w:val="-4"/>
          <w:sz w:val="20"/>
          <w:szCs w:val="20"/>
        </w:rPr>
      </w:r>
      <w:r>
        <w:rPr>
          <w:rFonts w:ascii="Times New Roman" w:hAnsi="Times New Roman" w:eastAsia="Times New Roman"/>
          <w:spacing w:val="-4"/>
          <w:sz w:val="20"/>
          <w:szCs w:val="20"/>
        </w:rPr>
      </w:r>
    </w:p>
    <w:p>
      <w:pPr>
        <w:jc w:val="both"/>
        <w:spacing w:after="0" w:line="360" w:lineRule="auto"/>
        <w:widowControl w:val="off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spacing w:val="-4"/>
          <w:sz w:val="20"/>
          <w:szCs w:val="20"/>
        </w:rPr>
        <w:t xml:space="preserve">                  (</w:t>
      </w:r>
      <w:r>
        <w:rPr>
          <w:rFonts w:ascii="Times New Roman" w:hAnsi="Times New Roman" w:eastAsia="Times New Roman"/>
          <w:spacing w:val="-4"/>
          <w:sz w:val="20"/>
          <w:szCs w:val="20"/>
        </w:rPr>
        <w:t xml:space="preserve">дата</w:t>
      </w:r>
      <w:r>
        <w:rPr>
          <w:rFonts w:ascii="Times New Roman" w:hAnsi="Times New Roman" w:eastAsia="Times New Roman"/>
          <w:spacing w:val="-4"/>
          <w:sz w:val="20"/>
          <w:szCs w:val="20"/>
        </w:rPr>
        <w:t xml:space="preserve">)</w:t>
      </w:r>
      <w:r>
        <w:rPr>
          <w:rFonts w:ascii="Times New Roman" w:hAnsi="Times New Roman" w:eastAsia="Times New Roman"/>
          <w:sz w:val="20"/>
          <w:szCs w:val="20"/>
        </w:rPr>
        <w:tab/>
      </w:r>
      <w:r>
        <w:rPr>
          <w:rFonts w:ascii="Times New Roman" w:hAnsi="Times New Roman" w:eastAsia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eastAsia="Times New Roman"/>
          <w:sz w:val="20"/>
          <w:szCs w:val="20"/>
        </w:rPr>
        <w:t xml:space="preserve">   (</w:t>
      </w:r>
      <w:r>
        <w:rPr>
          <w:rFonts w:ascii="Times New Roman" w:hAnsi="Times New Roman" w:eastAsia="Times New Roman"/>
          <w:spacing w:val="-2"/>
          <w:sz w:val="20"/>
          <w:szCs w:val="20"/>
        </w:rPr>
        <w:t xml:space="preserve">подпись</w:t>
      </w:r>
      <w:r>
        <w:rPr>
          <w:rFonts w:ascii="Times New Roman" w:hAnsi="Times New Roman" w:eastAsia="Times New Roman"/>
          <w:spacing w:val="-2"/>
          <w:sz w:val="20"/>
          <w:szCs w:val="20"/>
        </w:rPr>
        <w:t xml:space="preserve">)</w:t>
      </w:r>
      <w:r>
        <w:rPr>
          <w:rFonts w:ascii="Times New Roman" w:hAnsi="Times New Roman" w:eastAsia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2"/>
          <w:sz w:val="20"/>
          <w:szCs w:val="20"/>
        </w:rPr>
        <w:t xml:space="preserve">                                              (</w:t>
      </w:r>
      <w:r>
        <w:rPr>
          <w:rFonts w:ascii="Times New Roman" w:hAnsi="Times New Roman" w:eastAsia="Times New Roman"/>
          <w:sz w:val="20"/>
          <w:szCs w:val="20"/>
        </w:rPr>
        <w:t xml:space="preserve">расшифровка</w:t>
      </w:r>
      <w:r>
        <w:rPr>
          <w:rFonts w:ascii="Times New Roman" w:hAnsi="Times New Roman" w:eastAsia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2"/>
          <w:sz w:val="20"/>
          <w:szCs w:val="20"/>
        </w:rPr>
        <w:t xml:space="preserve">подписи</w:t>
      </w:r>
      <w:r>
        <w:rPr>
          <w:rFonts w:ascii="Times New Roman" w:hAnsi="Times New Roman" w:eastAsia="Times New Roman"/>
          <w:spacing w:val="-2"/>
          <w:sz w:val="20"/>
          <w:szCs w:val="20"/>
        </w:rPr>
        <w:t xml:space="preserve">)</w:t>
      </w:r>
      <w:r>
        <w:rPr>
          <w:rFonts w:ascii="Times New Roman" w:hAnsi="Times New Roman" w:eastAsia="Times New Roman"/>
          <w:color w:val="ff0000"/>
          <w:sz w:val="28"/>
          <w:szCs w:val="28"/>
        </w:rPr>
      </w:r>
      <w:r>
        <w:rPr>
          <w:rFonts w:ascii="Times New Roman" w:hAnsi="Times New Roman" w:eastAsia="Times New Roman"/>
          <w:color w:val="ff0000"/>
          <w:sz w:val="28"/>
          <w:szCs w:val="28"/>
        </w:rPr>
      </w:r>
    </w:p>
    <w:p>
      <w:pPr>
        <w:ind w:right="-1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актом</w:t>
      </w:r>
      <w:r>
        <w:rPr>
          <w:rFonts w:ascii="Times New Roman" w:hAnsi="Times New Roman" w:eastAsia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осмотра</w:t>
      </w:r>
      <w:r>
        <w:rPr>
          <w:rFonts w:ascii="Times New Roman" w:hAnsi="Times New Roman" w:eastAsia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ознакомлен(а),</w:t>
      </w:r>
      <w:r>
        <w:rPr>
          <w:rFonts w:ascii="Times New Roman" w:hAnsi="Times New Roman" w:eastAsia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копию</w:t>
      </w:r>
      <w:r>
        <w:rPr>
          <w:rFonts w:ascii="Times New Roman" w:hAnsi="Times New Roman" w:eastAsia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акта</w:t>
      </w:r>
      <w:r>
        <w:rPr>
          <w:rFonts w:ascii="Times New Roman" w:hAnsi="Times New Roman" w:eastAsia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2"/>
          <w:sz w:val="24"/>
          <w:szCs w:val="24"/>
        </w:rPr>
        <w:t xml:space="preserve">получил(а):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(фамилия,</w:t>
      </w:r>
      <w:r>
        <w:rPr>
          <w:rFonts w:ascii="Times New Roman" w:hAnsi="Times New Roman" w:eastAsia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 xml:space="preserve">инициалы</w:t>
      </w:r>
      <w:r>
        <w:rPr>
          <w:rFonts w:ascii="Times New Roman" w:hAnsi="Times New Roman" w:eastAsia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 xml:space="preserve">физического</w:t>
      </w:r>
      <w:r>
        <w:rPr>
          <w:rFonts w:ascii="Times New Roman" w:hAnsi="Times New Roman" w:eastAsia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 xml:space="preserve">лица,</w:t>
      </w:r>
      <w:r>
        <w:rPr>
          <w:rFonts w:ascii="Times New Roman" w:hAnsi="Times New Roman" w:eastAsia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 xml:space="preserve">уполномоченного</w:t>
      </w:r>
      <w:r>
        <w:rPr>
          <w:rFonts w:ascii="Times New Roman" w:hAnsi="Times New Roman" w:eastAsia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2"/>
          <w:sz w:val="20"/>
          <w:szCs w:val="20"/>
        </w:rPr>
        <w:t xml:space="preserve">представителя)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61"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Пометка об отказе ознакомления с актом осмотра: </w:t>
      </w:r>
      <w:r>
        <w:rPr>
          <w:rFonts w:ascii="Times New Roman" w:hAnsi="Times New Roman" w:eastAsia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61"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widowControl w:val="off"/>
        <w:tabs>
          <w:tab w:val="left" w:pos="10206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pacing w:val="-2"/>
          <w:sz w:val="20"/>
          <w:szCs w:val="20"/>
        </w:rPr>
        <w:t xml:space="preserve">(подпись лица (лиц), проводившего (их) осмотр)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6521" w:hanging="652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center"/>
        <w:spacing w:after="0" w:line="240" w:lineRule="auto"/>
        <w:tabs>
          <w:tab w:val="left" w:pos="6237" w:leader="none"/>
          <w:tab w:val="left" w:pos="6379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567" w:right="567" w:bottom="1134" w:left="1701" w:header="709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Segoe UI">
    <w:panose1 w:val="020B0502040204020203"/>
  </w:font>
  <w:font w:name="Calibri">
    <w:panose1 w:val="020F0502020204030204"/>
  </w:font>
  <w:font w:name="Century Gothic">
    <w:panose1 w:val="020B0502020202020204"/>
  </w:font>
  <w:font w:name="Times New Roman">
    <w:panose1 w:val="020206030504050203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89851937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72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5"/>
    <w:next w:val="865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6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5"/>
    <w:next w:val="865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6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5"/>
    <w:next w:val="865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6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6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6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6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5"/>
    <w:next w:val="865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6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5"/>
    <w:next w:val="865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6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5"/>
    <w:uiPriority w:val="34"/>
    <w:qFormat/>
    <w:pPr>
      <w:contextualSpacing/>
      <w:ind w:left="720"/>
    </w:pPr>
  </w:style>
  <w:style w:type="paragraph" w:styleId="711">
    <w:name w:val="Title"/>
    <w:basedOn w:val="865"/>
    <w:next w:val="865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6"/>
    <w:link w:val="711"/>
    <w:uiPriority w:val="10"/>
    <w:rPr>
      <w:sz w:val="48"/>
      <w:szCs w:val="48"/>
    </w:rPr>
  </w:style>
  <w:style w:type="paragraph" w:styleId="713">
    <w:name w:val="Subtitle"/>
    <w:basedOn w:val="865"/>
    <w:next w:val="865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6"/>
    <w:link w:val="713"/>
    <w:uiPriority w:val="11"/>
    <w:rPr>
      <w:sz w:val="24"/>
      <w:szCs w:val="24"/>
    </w:rPr>
  </w:style>
  <w:style w:type="paragraph" w:styleId="715">
    <w:name w:val="Quote"/>
    <w:basedOn w:val="865"/>
    <w:next w:val="865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5"/>
    <w:next w:val="865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6"/>
    <w:link w:val="872"/>
    <w:uiPriority w:val="99"/>
  </w:style>
  <w:style w:type="character" w:styleId="720">
    <w:name w:val="Footer Char"/>
    <w:basedOn w:val="866"/>
    <w:link w:val="874"/>
    <w:uiPriority w:val="99"/>
  </w:style>
  <w:style w:type="paragraph" w:styleId="721">
    <w:name w:val="Caption"/>
    <w:basedOn w:val="865"/>
    <w:next w:val="865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874"/>
    <w:uiPriority w:val="99"/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6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6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Balloon Text"/>
    <w:basedOn w:val="865"/>
    <w:link w:val="87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basedOn w:val="866"/>
    <w:link w:val="869"/>
    <w:uiPriority w:val="99"/>
    <w:semiHidden/>
    <w:rPr>
      <w:rFonts w:ascii="Tahoma" w:hAnsi="Tahoma" w:cs="Tahoma"/>
      <w:sz w:val="16"/>
      <w:szCs w:val="16"/>
    </w:rPr>
  </w:style>
  <w:style w:type="table" w:styleId="871">
    <w:name w:val="Table Grid"/>
    <w:basedOn w:val="8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>
    <w:name w:val="Header"/>
    <w:basedOn w:val="865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66"/>
    <w:link w:val="872"/>
    <w:uiPriority w:val="99"/>
  </w:style>
  <w:style w:type="paragraph" w:styleId="874">
    <w:name w:val="Footer"/>
    <w:basedOn w:val="865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66"/>
    <w:link w:val="874"/>
    <w:uiPriority w:val="99"/>
  </w:style>
  <w:style w:type="paragraph" w:styleId="876" w:customStyle="1">
    <w:name w:val="ConsPlusTitle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77">
    <w:name w:val="Body Text Indent"/>
    <w:basedOn w:val="865"/>
    <w:link w:val="878"/>
    <w:pPr>
      <w:ind w:left="283"/>
      <w:spacing w:after="120"/>
    </w:pPr>
    <w:rPr>
      <w:rFonts w:ascii="Century Gothic" w:hAnsi="Century Gothic" w:eastAsia="Times New Roman" w:cs="Times New Roman"/>
      <w:lang w:val="en-US"/>
    </w:rPr>
  </w:style>
  <w:style w:type="character" w:styleId="878" w:customStyle="1">
    <w:name w:val="Основной текст с отступом Знак"/>
    <w:basedOn w:val="866"/>
    <w:link w:val="877"/>
    <w:rPr>
      <w:rFonts w:ascii="Century Gothic" w:hAnsi="Century Gothic" w:eastAsia="Times New Roman" w:cs="Times New Roman"/>
      <w:lang w:val="en-US"/>
    </w:rPr>
  </w:style>
  <w:style w:type="paragraph" w:styleId="879">
    <w:name w:val="No Spacing"/>
    <w:link w:val="894"/>
    <w:uiPriority w:val="1"/>
    <w:qFormat/>
    <w:pPr>
      <w:spacing w:after="0" w:line="240" w:lineRule="auto"/>
    </w:pPr>
  </w:style>
  <w:style w:type="character" w:styleId="880">
    <w:name w:val="Hyperlink"/>
    <w:basedOn w:val="866"/>
    <w:uiPriority w:val="99"/>
    <w:unhideWhenUsed/>
    <w:rPr>
      <w:color w:val="0000ff" w:themeColor="hyperlink"/>
      <w:u w:val="single"/>
    </w:rPr>
  </w:style>
  <w:style w:type="character" w:styleId="881">
    <w:name w:val="Subtle Reference"/>
    <w:basedOn w:val="866"/>
    <w:uiPriority w:val="31"/>
    <w:qFormat/>
    <w:rPr>
      <w:smallCaps/>
      <w:color w:val="5a5a5a" w:themeColor="text1" w:themeTint="A5"/>
    </w:rPr>
  </w:style>
  <w:style w:type="table" w:styleId="882" w:customStyle="1">
    <w:name w:val="Сетка таблицы1"/>
    <w:basedOn w:val="867"/>
    <w:next w:val="871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3" w:customStyle="1">
    <w:name w:val="s_1"/>
    <w:basedOn w:val="8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4" w:customStyle="1">
    <w:name w:val="Гипертекстовая ссылка"/>
    <w:basedOn w:val="866"/>
    <w:uiPriority w:val="99"/>
    <w:rPr>
      <w:rFonts w:cs="Times New Roman"/>
      <w:b w:val="0"/>
      <w:color w:val="106bbe"/>
    </w:rPr>
  </w:style>
  <w:style w:type="paragraph" w:styleId="885" w:customStyle="1">
    <w:name w:val="Комментарий"/>
    <w:basedOn w:val="865"/>
    <w:next w:val="865"/>
    <w:uiPriority w:val="99"/>
    <w:pPr>
      <w:ind w:left="170"/>
      <w:jc w:val="both"/>
      <w:spacing w:before="75" w:after="0" w:line="240" w:lineRule="auto"/>
      <w:widowControl w:val="off"/>
    </w:pPr>
    <w:rPr>
      <w:rFonts w:ascii="Arial" w:hAnsi="Arial" w:cs="Arial" w:eastAsiaTheme="minorEastAsia"/>
      <w:color w:val="353842"/>
      <w:sz w:val="26"/>
      <w:szCs w:val="26"/>
      <w:lang w:eastAsia="ru-RU"/>
    </w:rPr>
  </w:style>
  <w:style w:type="character" w:styleId="886" w:customStyle="1">
    <w:name w:val="Не вступил в силу"/>
    <w:basedOn w:val="866"/>
    <w:uiPriority w:val="99"/>
    <w:rPr>
      <w:rFonts w:cs="Times New Roman"/>
      <w:b w:val="0"/>
      <w:color w:val="000000"/>
    </w:rPr>
  </w:style>
  <w:style w:type="character" w:styleId="887">
    <w:name w:val="annotation reference"/>
    <w:basedOn w:val="866"/>
    <w:uiPriority w:val="99"/>
    <w:semiHidden/>
    <w:unhideWhenUsed/>
    <w:rPr>
      <w:sz w:val="16"/>
      <w:szCs w:val="16"/>
    </w:rPr>
  </w:style>
  <w:style w:type="paragraph" w:styleId="888">
    <w:name w:val="annotation text"/>
    <w:basedOn w:val="865"/>
    <w:link w:val="88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9" w:customStyle="1">
    <w:name w:val="Текст примечания Знак"/>
    <w:basedOn w:val="866"/>
    <w:link w:val="888"/>
    <w:uiPriority w:val="99"/>
    <w:semiHidden/>
    <w:rPr>
      <w:sz w:val="20"/>
      <w:szCs w:val="20"/>
    </w:rPr>
  </w:style>
  <w:style w:type="paragraph" w:styleId="890">
    <w:name w:val="annotation subject"/>
    <w:basedOn w:val="888"/>
    <w:next w:val="888"/>
    <w:link w:val="891"/>
    <w:uiPriority w:val="99"/>
    <w:semiHidden/>
    <w:unhideWhenUsed/>
    <w:rPr>
      <w:b/>
      <w:bCs/>
    </w:rPr>
  </w:style>
  <w:style w:type="character" w:styleId="891" w:customStyle="1">
    <w:name w:val="Тема примечания Знак"/>
    <w:basedOn w:val="889"/>
    <w:link w:val="890"/>
    <w:uiPriority w:val="99"/>
    <w:semiHidden/>
    <w:rPr>
      <w:b/>
      <w:bCs/>
      <w:sz w:val="20"/>
      <w:szCs w:val="20"/>
    </w:rPr>
  </w:style>
  <w:style w:type="paragraph" w:styleId="892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character" w:styleId="893">
    <w:name w:val="Intense Reference"/>
    <w:basedOn w:val="866"/>
    <w:uiPriority w:val="32"/>
    <w:qFormat/>
    <w:rPr>
      <w:b/>
      <w:bCs/>
      <w:smallCaps/>
      <w:color w:val="4f81bd" w:themeColor="accent1"/>
      <w:spacing w:val="5"/>
    </w:rPr>
  </w:style>
  <w:style w:type="character" w:styleId="894" w:customStyle="1">
    <w:name w:val="Без интервала Знак"/>
    <w:link w:val="879"/>
    <w:uiPriority w:val="1"/>
  </w:style>
  <w:style w:type="paragraph" w:styleId="895" w:customStyle="1">
    <w:name w:val="Основной текст1"/>
    <w:pPr>
      <w:contextualSpacing w:val="0"/>
      <w:ind w:left="0" w:right="0" w:firstLine="40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garantF1://12084522.54" TargetMode="External"/><Relationship Id="rId12" Type="http://schemas.openxmlformats.org/officeDocument/2006/relationships/hyperlink" Target="mailto:dep@admmegion.ru" TargetMode="External"/><Relationship Id="rId13" Type="http://schemas.openxmlformats.org/officeDocument/2006/relationships/hyperlink" Target="https://mobileonline.garant.ru/" TargetMode="External"/><Relationship Id="rId14" Type="http://schemas.openxmlformats.org/officeDocument/2006/relationships/hyperlink" Target="https://login.consultant.ru/link/?req=doc&amp;base=LAW&amp;n=451215&amp;dst=5769" TargetMode="External"/><Relationship Id="rId15" Type="http://schemas.openxmlformats.org/officeDocument/2006/relationships/hyperlink" Target="https://rmsp-pp.nalog.ru/" TargetMode="External"/><Relationship Id="rId16" Type="http://schemas.openxmlformats.org/officeDocument/2006/relationships/hyperlink" Target="garantF1://402937436.1007" TargetMode="External"/><Relationship Id="rId17" Type="http://schemas.openxmlformats.org/officeDocument/2006/relationships/hyperlink" Target="garantF1://402937436.0" TargetMode="External"/><Relationship Id="rId18" Type="http://schemas.openxmlformats.org/officeDocument/2006/relationships/hyperlink" Target="https://mobileonline.garant.ru/" TargetMode="External"/><Relationship Id="rId19" Type="http://schemas.openxmlformats.org/officeDocument/2006/relationships/hyperlink" Target="garantF1://12012604.2681" TargetMode="External"/><Relationship Id="rId20" Type="http://schemas.openxmlformats.org/officeDocument/2006/relationships/hyperlink" Target="garantF1://12012604.2692" TargetMode="External"/><Relationship Id="rId21" Type="http://schemas.openxmlformats.org/officeDocument/2006/relationships/hyperlink" Target="file:///C:\tubbe\AppData\Local\ShatileniaVV\ShafigullinaMV\AppData\Local\Microsoft\Windows\Temporary%20Internet%20Files\AppData\Kapcovda\AppData\Local\Temp\Arm_Municipal\2.4.0.1\Documents\5848-0.do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3E0E8-F0CD-487A-AE49-53B635D7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dcterms:created xsi:type="dcterms:W3CDTF">2024-12-13T05:24:00Z</dcterms:created>
  <dcterms:modified xsi:type="dcterms:W3CDTF">2025-09-09T11:57:25Z</dcterms:modified>
</cp:coreProperties>
</file>